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663A5">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56"/>
          <w:szCs w:val="56"/>
          <w:lang w:val="en-US" w:eastAsia="zh-CN" w:bidi="zh-CN"/>
        </w:rPr>
      </w:pPr>
      <w:r>
        <w:rPr>
          <w:rFonts w:hint="eastAsia" w:ascii="宋体" w:hAnsi="宋体" w:eastAsia="宋体" w:cs="宋体"/>
          <w:b/>
          <w:bCs/>
          <w:spacing w:val="-3"/>
          <w:sz w:val="56"/>
          <w:szCs w:val="56"/>
          <w:lang w:val="en-US" w:eastAsia="zh-CN" w:bidi="zh-CN"/>
        </w:rPr>
        <w:t>广东省中医院贵州医院</w:t>
      </w:r>
      <w:r>
        <w:rPr>
          <w:rFonts w:hint="eastAsia" w:ascii="宋体" w:hAnsi="宋体" w:eastAsia="宋体" w:cs="宋体"/>
          <w:b/>
          <w:bCs/>
          <w:spacing w:val="-3"/>
          <w:sz w:val="56"/>
          <w:szCs w:val="56"/>
          <w:lang w:val="zh-CN" w:eastAsia="zh-CN" w:bidi="zh-CN"/>
        </w:rPr>
        <w:t>建筑消防设施</w:t>
      </w:r>
      <w:r>
        <w:rPr>
          <w:rFonts w:hint="eastAsia" w:cs="宋体"/>
          <w:b/>
          <w:bCs/>
          <w:spacing w:val="-3"/>
          <w:sz w:val="56"/>
          <w:szCs w:val="56"/>
          <w:lang w:val="zh-CN" w:eastAsia="zh-CN" w:bidi="zh-CN"/>
        </w:rPr>
        <w:t>设备</w:t>
      </w:r>
      <w:r>
        <w:rPr>
          <w:rFonts w:hint="eastAsia" w:ascii="宋体" w:hAnsi="宋体" w:eastAsia="宋体" w:cs="宋体"/>
          <w:b/>
          <w:bCs/>
          <w:spacing w:val="-3"/>
          <w:sz w:val="56"/>
          <w:szCs w:val="56"/>
          <w:lang w:val="en-US" w:eastAsia="zh-CN" w:bidi="zh-CN"/>
        </w:rPr>
        <w:t>需求</w:t>
      </w:r>
    </w:p>
    <w:p w14:paraId="2F91CFED">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74FFBE63">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0"/>
          <w:szCs w:val="40"/>
          <w:lang w:val="en-US" w:eastAsia="zh-CN" w:bidi="zh-CN"/>
        </w:rPr>
      </w:pPr>
    </w:p>
    <w:p w14:paraId="546EB6B6">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0"/>
          <w:szCs w:val="40"/>
          <w:lang w:val="en-US" w:eastAsia="zh-CN" w:bidi="zh-CN"/>
        </w:rPr>
      </w:pPr>
    </w:p>
    <w:p w14:paraId="5D0A1ADB">
      <w:pPr>
        <w:pStyle w:val="3"/>
        <w:keepNext w:val="0"/>
        <w:keepLines w:val="0"/>
        <w:pageBreakBefore w:val="0"/>
        <w:widowControl w:val="0"/>
        <w:numPr>
          <w:ilvl w:val="0"/>
          <w:numId w:val="1"/>
        </w:numPr>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both"/>
        <w:textAlignment w:val="auto"/>
        <w:rPr>
          <w:rFonts w:hint="eastAsia" w:ascii="宋体" w:hAnsi="宋体" w:eastAsia="宋体" w:cs="宋体"/>
          <w:b/>
          <w:bCs/>
          <w:spacing w:val="-3"/>
          <w:sz w:val="32"/>
          <w:szCs w:val="32"/>
          <w:lang w:val="en-US" w:eastAsia="zh-CN" w:bidi="zh-CN"/>
        </w:rPr>
      </w:pPr>
      <w:r>
        <w:rPr>
          <w:rFonts w:hint="eastAsia" w:ascii="宋体" w:hAnsi="宋体" w:eastAsia="宋体" w:cs="宋体"/>
          <w:b/>
          <w:bCs/>
          <w:spacing w:val="-3"/>
          <w:sz w:val="32"/>
          <w:szCs w:val="32"/>
          <w:lang w:val="zh-CN" w:eastAsia="zh-CN" w:bidi="zh-CN"/>
        </w:rPr>
        <w:t>建筑消防设施维护保养</w:t>
      </w:r>
      <w:r>
        <w:rPr>
          <w:rFonts w:hint="eastAsia" w:ascii="宋体" w:hAnsi="宋体" w:eastAsia="宋体" w:cs="宋体"/>
          <w:b/>
          <w:bCs/>
          <w:spacing w:val="-3"/>
          <w:sz w:val="32"/>
          <w:szCs w:val="32"/>
          <w:lang w:val="en-US" w:eastAsia="zh-CN" w:bidi="zh-CN"/>
        </w:rPr>
        <w:t>需求</w:t>
      </w:r>
      <w:r>
        <w:rPr>
          <w:rFonts w:hint="eastAsia" w:cs="宋体"/>
          <w:b/>
          <w:bCs/>
          <w:spacing w:val="-3"/>
          <w:sz w:val="32"/>
          <w:szCs w:val="32"/>
          <w:lang w:val="en-US" w:eastAsia="zh-CN" w:bidi="zh-CN"/>
        </w:rPr>
        <w:t>...................2-8</w:t>
      </w:r>
    </w:p>
    <w:p w14:paraId="495B9693">
      <w:pPr>
        <w:pStyle w:val="3"/>
        <w:keepNext w:val="0"/>
        <w:keepLines w:val="0"/>
        <w:pageBreakBefore w:val="0"/>
        <w:widowControl w:val="0"/>
        <w:numPr>
          <w:numId w:val="0"/>
        </w:numPr>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right="0" w:rightChars="0"/>
        <w:jc w:val="both"/>
        <w:textAlignment w:val="auto"/>
        <w:rPr>
          <w:rFonts w:hint="eastAsia" w:ascii="宋体" w:hAnsi="宋体" w:eastAsia="宋体" w:cs="宋体"/>
          <w:b/>
          <w:bCs/>
          <w:spacing w:val="-3"/>
          <w:sz w:val="32"/>
          <w:szCs w:val="32"/>
          <w:lang w:val="en-US" w:eastAsia="zh-CN" w:bidi="zh-CN"/>
        </w:rPr>
      </w:pPr>
    </w:p>
    <w:p w14:paraId="6005E5D3">
      <w:pPr>
        <w:pStyle w:val="3"/>
        <w:keepNext w:val="0"/>
        <w:keepLines w:val="0"/>
        <w:pageBreakBefore w:val="0"/>
        <w:widowControl w:val="0"/>
        <w:numPr>
          <w:ilvl w:val="0"/>
          <w:numId w:val="1"/>
        </w:numPr>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leftChars="0" w:right="0" w:firstLine="0" w:firstLineChars="0"/>
        <w:jc w:val="both"/>
        <w:textAlignment w:val="auto"/>
        <w:rPr>
          <w:rFonts w:hint="eastAsia" w:ascii="宋体" w:hAnsi="宋体" w:eastAsia="宋体" w:cs="宋体"/>
          <w:b/>
          <w:bCs/>
          <w:spacing w:val="-3"/>
          <w:sz w:val="32"/>
          <w:szCs w:val="32"/>
          <w:lang w:val="en-US" w:eastAsia="zh-CN" w:bidi="zh-CN"/>
        </w:rPr>
      </w:pPr>
      <w:r>
        <w:rPr>
          <w:rFonts w:hint="eastAsia" w:ascii="宋体" w:hAnsi="宋体" w:eastAsia="宋体" w:cs="宋体"/>
          <w:b/>
          <w:bCs/>
          <w:spacing w:val="-3"/>
          <w:sz w:val="32"/>
          <w:szCs w:val="32"/>
          <w:lang w:val="en-US" w:eastAsia="zh-CN" w:bidi="zh-CN"/>
        </w:rPr>
        <w:t>消防控制室值守服务需求</w:t>
      </w:r>
      <w:r>
        <w:rPr>
          <w:rFonts w:hint="eastAsia" w:cs="宋体"/>
          <w:b/>
          <w:bCs/>
          <w:spacing w:val="-3"/>
          <w:sz w:val="32"/>
          <w:szCs w:val="32"/>
          <w:lang w:val="en-US" w:eastAsia="zh-CN" w:bidi="zh-CN"/>
        </w:rPr>
        <w:t>.....................9-14</w:t>
      </w:r>
    </w:p>
    <w:p w14:paraId="79A663B6">
      <w:pPr>
        <w:pStyle w:val="3"/>
        <w:keepNext w:val="0"/>
        <w:keepLines w:val="0"/>
        <w:pageBreakBefore w:val="0"/>
        <w:widowControl w:val="0"/>
        <w:numPr>
          <w:numId w:val="0"/>
        </w:numPr>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leftChars="0" w:right="0" w:rightChars="0"/>
        <w:jc w:val="both"/>
        <w:textAlignment w:val="auto"/>
        <w:rPr>
          <w:rFonts w:hint="eastAsia" w:ascii="宋体" w:hAnsi="宋体" w:eastAsia="宋体" w:cs="宋体"/>
          <w:b/>
          <w:bCs/>
          <w:spacing w:val="-3"/>
          <w:sz w:val="32"/>
          <w:szCs w:val="32"/>
          <w:lang w:val="en-US" w:eastAsia="zh-CN" w:bidi="zh-CN"/>
        </w:rPr>
      </w:pPr>
    </w:p>
    <w:p w14:paraId="54F29B04">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left"/>
        <w:textAlignment w:val="auto"/>
        <w:rPr>
          <w:rFonts w:hint="default" w:ascii="宋体" w:hAnsi="宋体" w:eastAsia="宋体" w:cs="宋体"/>
          <w:b/>
          <w:bCs/>
          <w:spacing w:val="-3"/>
          <w:sz w:val="32"/>
          <w:szCs w:val="32"/>
          <w:lang w:val="en-US" w:eastAsia="zh-CN" w:bidi="zh-CN"/>
        </w:rPr>
      </w:pPr>
      <w:r>
        <w:rPr>
          <w:rFonts w:hint="eastAsia" w:cs="宋体"/>
          <w:b/>
          <w:bCs/>
          <w:spacing w:val="-3"/>
          <w:sz w:val="32"/>
          <w:szCs w:val="32"/>
          <w:lang w:val="en-US" w:eastAsia="zh-CN" w:bidi="zh-CN"/>
        </w:rPr>
        <w:t>3、</w:t>
      </w:r>
      <w:r>
        <w:rPr>
          <w:rFonts w:hint="eastAsia" w:ascii="宋体" w:hAnsi="宋体" w:eastAsia="宋体" w:cs="宋体"/>
          <w:b/>
          <w:bCs/>
          <w:spacing w:val="-3"/>
          <w:sz w:val="32"/>
          <w:szCs w:val="32"/>
          <w:lang w:val="en-US" w:eastAsia="zh-CN" w:bidi="zh-CN"/>
        </w:rPr>
        <w:t>智慧消防物联网安全监管系统运营维护服务需求</w:t>
      </w:r>
      <w:r>
        <w:rPr>
          <w:rFonts w:hint="eastAsia" w:cs="宋体"/>
          <w:b/>
          <w:bCs/>
          <w:spacing w:val="-3"/>
          <w:sz w:val="32"/>
          <w:szCs w:val="32"/>
          <w:lang w:val="en-US" w:eastAsia="zh-CN" w:bidi="zh-CN"/>
        </w:rPr>
        <w:t>..15-21</w:t>
      </w:r>
    </w:p>
    <w:p w14:paraId="1E348A9E">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78AF5100">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bookmarkStart w:id="1" w:name="_GoBack"/>
      <w:bookmarkEnd w:id="1"/>
    </w:p>
    <w:p w14:paraId="65D590FD">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08131DDE">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5FD03DBC">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6A9B926D">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05F3CE9B">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1E2FA946">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4D3B3587">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1C29D730">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189B3D9D">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43AE6368">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72177B9A">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240" w:lineRule="auto"/>
        <w:ind w:left="238" w:right="0"/>
        <w:jc w:val="center"/>
        <w:textAlignment w:val="auto"/>
        <w:rPr>
          <w:rFonts w:hint="eastAsia" w:ascii="宋体" w:hAnsi="宋体" w:eastAsia="宋体" w:cs="宋体"/>
          <w:b/>
          <w:bCs/>
          <w:spacing w:val="-3"/>
          <w:sz w:val="44"/>
          <w:szCs w:val="44"/>
          <w:lang w:val="en-US" w:eastAsia="zh-CN" w:bidi="zh-CN"/>
        </w:rPr>
      </w:pPr>
    </w:p>
    <w:p w14:paraId="56314AE9">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360" w:lineRule="auto"/>
        <w:ind w:left="0" w:leftChars="0" w:right="0" w:firstLine="0" w:firstLineChars="0"/>
        <w:textAlignment w:val="auto"/>
        <w:rPr>
          <w:rFonts w:hint="eastAsia"/>
          <w:b/>
          <w:bCs/>
          <w:lang w:val="en-US" w:eastAsia="zh-CN"/>
        </w:rPr>
      </w:pPr>
    </w:p>
    <w:p w14:paraId="10434CBD">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360" w:lineRule="auto"/>
        <w:ind w:left="0" w:leftChars="0" w:right="0" w:firstLine="0" w:firstLineChars="0"/>
        <w:textAlignment w:val="auto"/>
        <w:rPr>
          <w:rFonts w:hint="eastAsia"/>
          <w:b/>
          <w:bCs/>
          <w:lang w:val="en-US" w:eastAsia="zh-CN"/>
        </w:rPr>
      </w:pPr>
    </w:p>
    <w:p w14:paraId="67861FDE">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360" w:lineRule="auto"/>
        <w:ind w:left="0" w:leftChars="0" w:right="0" w:firstLine="482" w:firstLineChars="200"/>
        <w:textAlignment w:val="auto"/>
        <w:rPr>
          <w:rFonts w:hint="eastAsia"/>
          <w:b/>
          <w:bCs/>
          <w:lang w:val="en-US" w:eastAsia="zh-CN"/>
        </w:rPr>
      </w:pPr>
    </w:p>
    <w:p w14:paraId="7FB29A8B">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360" w:lineRule="auto"/>
        <w:ind w:left="0" w:leftChars="0" w:right="0" w:firstLine="631" w:firstLineChars="200"/>
        <w:jc w:val="center"/>
        <w:textAlignment w:val="auto"/>
        <w:rPr>
          <w:rFonts w:hint="eastAsia"/>
          <w:b/>
          <w:bCs/>
          <w:lang w:val="en-US" w:eastAsia="zh-CN"/>
        </w:rPr>
      </w:pPr>
      <w:r>
        <w:rPr>
          <w:rFonts w:hint="eastAsia" w:ascii="宋体" w:hAnsi="宋体" w:eastAsia="宋体" w:cs="宋体"/>
          <w:b/>
          <w:bCs/>
          <w:spacing w:val="-3"/>
          <w:sz w:val="32"/>
          <w:szCs w:val="32"/>
          <w:lang w:val="zh-CN" w:eastAsia="zh-CN" w:bidi="zh-CN"/>
        </w:rPr>
        <w:t>建筑消防设施维护保养</w:t>
      </w:r>
      <w:r>
        <w:rPr>
          <w:rFonts w:hint="eastAsia" w:ascii="宋体" w:hAnsi="宋体" w:eastAsia="宋体" w:cs="宋体"/>
          <w:b/>
          <w:bCs/>
          <w:spacing w:val="-3"/>
          <w:sz w:val="32"/>
          <w:szCs w:val="32"/>
          <w:lang w:val="en-US" w:eastAsia="zh-CN" w:bidi="zh-CN"/>
        </w:rPr>
        <w:t>需求</w:t>
      </w:r>
    </w:p>
    <w:p w14:paraId="61AECDF1">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360" w:lineRule="auto"/>
        <w:ind w:left="0" w:leftChars="0" w:right="0" w:firstLine="482" w:firstLineChars="200"/>
        <w:textAlignment w:val="auto"/>
        <w:rPr>
          <w:rFonts w:hint="default" w:eastAsia="宋体"/>
          <w:b/>
          <w:bCs/>
          <w:lang w:val="en-US" w:eastAsia="zh-CN"/>
        </w:rPr>
      </w:pPr>
      <w:r>
        <w:rPr>
          <w:rFonts w:hint="eastAsia"/>
          <w:b/>
          <w:bCs/>
          <w:lang w:val="en-US" w:eastAsia="zh-CN"/>
        </w:rPr>
        <w:t>一、基本情况</w:t>
      </w:r>
    </w:p>
    <w:p w14:paraId="081BC037">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82" w:firstLineChars="200"/>
        <w:textAlignment w:val="auto"/>
        <w:rPr>
          <w:rFonts w:hint="default"/>
          <w:lang w:val="en-US" w:eastAsia="zh-CN"/>
        </w:rPr>
      </w:pPr>
      <w:r>
        <w:rPr>
          <w:rFonts w:hint="eastAsia"/>
          <w:b/>
          <w:bCs/>
          <w:lang w:val="en-US" w:eastAsia="zh-CN"/>
        </w:rPr>
        <w:t>（一）项目概述</w:t>
      </w:r>
    </w:p>
    <w:p w14:paraId="22F624AE">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hint="default"/>
          <w:spacing w:val="-3"/>
          <w:u w:val="none"/>
          <w:lang w:val="en-US" w:eastAsia="zh-CN"/>
        </w:rPr>
      </w:pPr>
      <w:r>
        <w:rPr>
          <w:rFonts w:hint="eastAsia"/>
          <w:lang w:val="en-US" w:eastAsia="zh-CN"/>
        </w:rPr>
        <w:t>1.</w:t>
      </w:r>
      <w:r>
        <w:rPr>
          <w:u w:val="none"/>
        </w:rPr>
        <w:t>项目名称：</w:t>
      </w:r>
      <w:r>
        <w:rPr>
          <w:rFonts w:hint="eastAsia"/>
          <w:spacing w:val="-3"/>
          <w:u w:val="none"/>
          <w:lang w:val="en-US" w:eastAsia="zh-CN"/>
        </w:rPr>
        <w:t>广东省中医院贵州医院建筑消防设施维护保养服务</w:t>
      </w:r>
    </w:p>
    <w:p w14:paraId="1884C952">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68" w:firstLineChars="200"/>
        <w:textAlignment w:val="auto"/>
        <w:rPr>
          <w:rFonts w:hint="default"/>
          <w:u w:val="none"/>
          <w:lang w:val="en-US"/>
        </w:rPr>
      </w:pPr>
      <w:r>
        <w:rPr>
          <w:rFonts w:hint="eastAsia"/>
          <w:spacing w:val="-3"/>
          <w:u w:val="none"/>
          <w:lang w:val="en-US" w:eastAsia="zh-CN"/>
        </w:rPr>
        <w:t>2</w:t>
      </w:r>
      <w:r>
        <w:rPr>
          <w:rFonts w:hint="eastAsia"/>
          <w:lang w:val="en-US" w:eastAsia="zh-CN"/>
        </w:rPr>
        <w:t>.</w:t>
      </w:r>
      <w:r>
        <w:rPr>
          <w:u w:val="none"/>
        </w:rPr>
        <w:t>使用单位：</w:t>
      </w:r>
      <w:r>
        <w:rPr>
          <w:rFonts w:hint="eastAsia"/>
          <w:spacing w:val="-3"/>
          <w:u w:val="none"/>
          <w:lang w:val="en-US" w:eastAsia="zh-CN"/>
        </w:rPr>
        <w:t>广东省中医院贵州医院（事业单位、公立医院）</w:t>
      </w:r>
    </w:p>
    <w:p w14:paraId="4052FC9C">
      <w:pPr>
        <w:pStyle w:val="3"/>
        <w:keepNext w:val="0"/>
        <w:keepLines w:val="0"/>
        <w:pageBreakBefore w:val="0"/>
        <w:widowControl w:val="0"/>
        <w:tabs>
          <w:tab w:val="left" w:pos="5778"/>
        </w:tabs>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default" w:eastAsia="宋体"/>
          <w:u w:val="none"/>
          <w:lang w:val="en-US" w:eastAsia="zh-CN"/>
        </w:rPr>
      </w:pPr>
      <w:r>
        <w:rPr>
          <w:rFonts w:hint="eastAsia"/>
          <w:u w:val="none"/>
          <w:lang w:val="en-US" w:eastAsia="zh-CN"/>
        </w:rPr>
        <w:t>3</w:t>
      </w:r>
      <w:r>
        <w:rPr>
          <w:rFonts w:hint="eastAsia"/>
          <w:lang w:val="en-US" w:eastAsia="zh-CN"/>
        </w:rPr>
        <w:t>.</w:t>
      </w:r>
      <w:r>
        <w:rPr>
          <w:rFonts w:hint="eastAsia"/>
          <w:u w:val="none"/>
          <w:lang w:val="en-US" w:eastAsia="zh-CN"/>
        </w:rPr>
        <w:t>项目</w:t>
      </w:r>
      <w:r>
        <w:rPr>
          <w:u w:val="none"/>
        </w:rPr>
        <w:t>地址：</w:t>
      </w:r>
      <w:r>
        <w:rPr>
          <w:rFonts w:hint="eastAsia"/>
          <w:spacing w:val="-3"/>
          <w:u w:val="none"/>
          <w:lang w:val="en-US" w:eastAsia="zh-CN"/>
        </w:rPr>
        <w:t>贵州省贵阳市南明区花溪大道中段27号</w:t>
      </w:r>
    </w:p>
    <w:p w14:paraId="5EB342B4">
      <w:pPr>
        <w:pStyle w:val="3"/>
        <w:keepNext w:val="0"/>
        <w:keepLines w:val="0"/>
        <w:pageBreakBefore w:val="0"/>
        <w:widowControl w:val="0"/>
        <w:tabs>
          <w:tab w:val="left" w:pos="1439"/>
          <w:tab w:val="left" w:pos="1799"/>
          <w:tab w:val="left" w:pos="1919"/>
          <w:tab w:val="left" w:pos="2759"/>
          <w:tab w:val="left" w:pos="4099"/>
          <w:tab w:val="left" w:pos="5058"/>
          <w:tab w:val="left" w:pos="5152"/>
          <w:tab w:val="left" w:pos="5418"/>
          <w:tab w:val="left" w:pos="6858"/>
          <w:tab w:val="left" w:pos="9738"/>
          <w:tab w:val="left" w:pos="9901"/>
          <w:tab w:val="left" w:pos="10043"/>
          <w:tab w:val="left" w:pos="10163"/>
        </w:tabs>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ascii="Times New Roman" w:eastAsia="Times New Roman"/>
        </w:rPr>
      </w:pPr>
      <w:r>
        <w:rPr>
          <w:rFonts w:hint="eastAsia"/>
          <w:lang w:val="en-US" w:eastAsia="zh-CN"/>
        </w:rPr>
        <w:t>4.</w:t>
      </w:r>
      <w:r>
        <w:rPr>
          <w:rFonts w:hint="eastAsia"/>
          <w:lang w:eastAsia="zh-CN"/>
        </w:rPr>
        <w:t>总</w:t>
      </w:r>
      <w:r>
        <w:t>建筑面积</w:t>
      </w:r>
      <w:r>
        <w:rPr>
          <w:u w:val="none"/>
        </w:rPr>
        <w:t>：</w:t>
      </w:r>
      <w:r>
        <w:rPr>
          <w:rFonts w:hint="eastAsia" w:ascii="宋体" w:hAnsi="宋体" w:eastAsia="宋体" w:cs="宋体"/>
          <w:u w:val="none"/>
        </w:rPr>
        <w:t>28798.59平方米</w:t>
      </w:r>
      <w:r>
        <w:rPr>
          <w:rFonts w:hint="eastAsia" w:cs="宋体"/>
          <w:u w:val="none"/>
          <w:lang w:val="en-US" w:eastAsia="zh-CN"/>
        </w:rPr>
        <w:t>；</w:t>
      </w:r>
      <w:r>
        <w:t>使</w:t>
      </w:r>
      <w:r>
        <w:rPr>
          <w:u w:val="none"/>
        </w:rPr>
        <w:t>用性质：</w:t>
      </w:r>
      <w:r>
        <w:rPr>
          <w:rFonts w:hint="eastAsia"/>
          <w:u w:val="none"/>
          <w:lang w:val="en-US" w:eastAsia="zh-CN"/>
        </w:rPr>
        <w:t>医院；</w:t>
      </w:r>
      <w:r>
        <w:rPr>
          <w:u w:val="none"/>
        </w:rPr>
        <w:t>地上</w:t>
      </w:r>
      <w:r>
        <w:rPr>
          <w:rFonts w:hint="eastAsia"/>
          <w:u w:val="none"/>
          <w:lang w:val="en-US" w:eastAsia="zh-CN"/>
        </w:rPr>
        <w:t>建筑</w:t>
      </w:r>
      <w:r>
        <w:rPr>
          <w:u w:val="none"/>
        </w:rPr>
        <w:t>：</w:t>
      </w:r>
      <w:r>
        <w:rPr>
          <w:rFonts w:hint="eastAsia"/>
          <w:u w:val="none"/>
          <w:lang w:val="en-US" w:eastAsia="zh-CN"/>
        </w:rPr>
        <w:t>18</w:t>
      </w:r>
      <w:r>
        <w:rPr>
          <w:u w:val="none"/>
        </w:rPr>
        <w:t>层</w:t>
      </w:r>
      <w:r>
        <w:rPr>
          <w:rFonts w:hint="eastAsia"/>
          <w:u w:val="none"/>
          <w:lang w:eastAsia="zh-CN"/>
        </w:rPr>
        <w:t>，</w:t>
      </w:r>
      <w:r>
        <w:rPr>
          <w:u w:val="none"/>
        </w:rPr>
        <w:t>地下</w:t>
      </w:r>
      <w:r>
        <w:rPr>
          <w:rFonts w:hint="eastAsia"/>
          <w:u w:val="none"/>
          <w:lang w:val="en-US" w:eastAsia="zh-CN"/>
        </w:rPr>
        <w:t>建筑</w:t>
      </w:r>
      <w:r>
        <w:rPr>
          <w:u w:val="none"/>
        </w:rPr>
        <w:t>：</w:t>
      </w:r>
      <w:r>
        <w:rPr>
          <w:rFonts w:hint="eastAsia"/>
          <w:spacing w:val="119"/>
          <w:u w:val="none"/>
          <w:lang w:val="en-US" w:eastAsia="zh-CN"/>
        </w:rPr>
        <w:t>2</w:t>
      </w:r>
      <w:r>
        <w:rPr>
          <w:u w:val="none"/>
        </w:rPr>
        <w:t>层</w:t>
      </w:r>
      <w:r>
        <w:rPr>
          <w:rFonts w:hint="eastAsia"/>
          <w:u w:val="none"/>
          <w:lang w:eastAsia="zh-CN"/>
        </w:rPr>
        <w:t>。</w:t>
      </w:r>
    </w:p>
    <w:p w14:paraId="722245D9">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82" w:firstLineChars="200"/>
        <w:textAlignment w:val="auto"/>
        <w:rPr>
          <w:b/>
          <w:sz w:val="22"/>
        </w:rPr>
      </w:pPr>
      <w:r>
        <w:rPr>
          <w:rFonts w:hint="eastAsia"/>
          <w:b/>
          <w:bCs/>
          <w:lang w:val="en-US" w:eastAsia="zh-CN"/>
        </w:rPr>
        <w:t>（二）维护保养服务范围</w:t>
      </w:r>
    </w:p>
    <w:p w14:paraId="7335197A">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en-US" w:eastAsia="zh-CN" w:bidi="zh-CN"/>
        </w:rPr>
        <w:t>1.</w:t>
      </w:r>
      <w:r>
        <w:rPr>
          <w:rFonts w:hint="eastAsia" w:ascii="宋体" w:hAnsi="宋体" w:eastAsia="宋体" w:cs="宋体"/>
          <w:spacing w:val="-4"/>
          <w:sz w:val="24"/>
          <w:szCs w:val="24"/>
          <w:lang w:val="zh-CN" w:eastAsia="zh-CN" w:bidi="zh-CN"/>
        </w:rPr>
        <w:t>火灾自动报警与消防联动控制系统；</w:t>
      </w:r>
    </w:p>
    <w:p w14:paraId="3F5E32ED">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2.消防栓、自动喷淋（含水炮）灭火系统：</w:t>
      </w:r>
    </w:p>
    <w:p w14:paraId="56279EFB">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3.消防通风和防排烟系统；</w:t>
      </w:r>
    </w:p>
    <w:p w14:paraId="21F7B084">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4.电梯的联动检查；</w:t>
      </w:r>
    </w:p>
    <w:p w14:paraId="656136E4">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5.消防水泵系统；</w:t>
      </w:r>
    </w:p>
    <w:p w14:paraId="01F6A4B5">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6.防火卷帘系统；</w:t>
      </w:r>
    </w:p>
    <w:p w14:paraId="178FEFC0">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7.气体灭火系统；</w:t>
      </w:r>
    </w:p>
    <w:p w14:paraId="6BFD2C4E">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8.电气火灾监控系统；</w:t>
      </w:r>
    </w:p>
    <w:p w14:paraId="647D2866">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zh-CN" w:eastAsia="zh-CN" w:bidi="zh-CN"/>
        </w:rPr>
        <w:t>9.可燃气体泄漏监控系统；</w:t>
      </w:r>
    </w:p>
    <w:p w14:paraId="59AE0EC8">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10.消防事故广播系统；</w:t>
      </w:r>
    </w:p>
    <w:p w14:paraId="2A6FAF32">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11.消防对讲电话系统；</w:t>
      </w:r>
    </w:p>
    <w:p w14:paraId="4FC3F5D3">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12.应急疏散系统；</w:t>
      </w:r>
    </w:p>
    <w:p w14:paraId="07BA7C2A">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13.灭火器材；</w:t>
      </w:r>
    </w:p>
    <w:p w14:paraId="712FE324">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14.防烟面罩；</w:t>
      </w:r>
    </w:p>
    <w:p w14:paraId="776B8AE0">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15.防火门；</w:t>
      </w:r>
    </w:p>
    <w:p w14:paraId="2897C6AE">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en-US" w:eastAsia="zh-CN" w:bidi="zh-CN"/>
        </w:rPr>
        <w:t>16.</w:t>
      </w:r>
      <w:r>
        <w:rPr>
          <w:rFonts w:hint="eastAsia" w:ascii="宋体" w:hAnsi="宋体" w:eastAsia="宋体" w:cs="宋体"/>
          <w:spacing w:val="-4"/>
          <w:sz w:val="24"/>
          <w:szCs w:val="24"/>
          <w:lang w:val="zh-CN" w:eastAsia="zh-CN" w:bidi="zh-CN"/>
        </w:rPr>
        <w:t>消防控制室值班；</w:t>
      </w:r>
    </w:p>
    <w:p w14:paraId="7E656844">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17.</w:t>
      </w:r>
      <w:r>
        <w:rPr>
          <w:rFonts w:hint="eastAsia" w:ascii="宋体" w:hAnsi="宋体" w:eastAsia="宋体" w:cs="宋体"/>
          <w:spacing w:val="-4"/>
          <w:sz w:val="24"/>
          <w:szCs w:val="24"/>
          <w:lang w:val="zh-CN" w:eastAsia="zh-CN" w:bidi="zh-CN"/>
        </w:rPr>
        <w:t>强弱电竖井</w:t>
      </w:r>
      <w:r>
        <w:rPr>
          <w:rFonts w:hint="eastAsia" w:cs="宋体"/>
          <w:spacing w:val="-4"/>
          <w:sz w:val="24"/>
          <w:szCs w:val="24"/>
          <w:lang w:val="zh-CN" w:eastAsia="zh-CN" w:bidi="zh-CN"/>
        </w:rPr>
        <w:t>。</w:t>
      </w:r>
    </w:p>
    <w:p w14:paraId="79E2C21B">
      <w:pPr>
        <w:keepNext w:val="0"/>
        <w:keepLines w:val="0"/>
        <w:pageBreakBefore w:val="0"/>
        <w:widowControl w:val="0"/>
        <w:kinsoku/>
        <w:overflowPunct/>
        <w:topLinePunct w:val="0"/>
        <w:autoSpaceDE w:val="0"/>
        <w:autoSpaceDN w:val="0"/>
        <w:bidi w:val="0"/>
        <w:adjustRightInd w:val="0"/>
        <w:snapToGrid w:val="0"/>
        <w:spacing w:before="0" w:line="360" w:lineRule="auto"/>
        <w:ind w:left="0" w:leftChars="0" w:right="0" w:firstLine="422" w:firstLineChars="200"/>
        <w:jc w:val="left"/>
        <w:textAlignment w:val="auto"/>
        <w:rPr>
          <w:rFonts w:hint="eastAsia" w:eastAsia="宋体"/>
          <w:b/>
          <w:sz w:val="24"/>
          <w:lang w:val="en-US" w:eastAsia="zh-CN"/>
        </w:rPr>
      </w:pPr>
      <w:r>
        <w:rPr>
          <w:rFonts w:hint="eastAsia"/>
          <w:b/>
          <w:bCs/>
          <w:lang w:val="en-US" w:eastAsia="zh-CN"/>
        </w:rPr>
        <w:t>（三）</w:t>
      </w:r>
      <w:r>
        <w:rPr>
          <w:rFonts w:hint="eastAsia"/>
          <w:b/>
          <w:sz w:val="24"/>
          <w:lang w:val="en-US" w:eastAsia="zh-CN"/>
        </w:rPr>
        <w:t>项目期限</w:t>
      </w:r>
    </w:p>
    <w:p w14:paraId="7A6D8B1E">
      <w:pPr>
        <w:pStyle w:val="3"/>
        <w:keepNext w:val="0"/>
        <w:keepLines w:val="0"/>
        <w:pageBreakBefore w:val="0"/>
        <w:widowControl w:val="0"/>
        <w:tabs>
          <w:tab w:val="left" w:pos="5151"/>
          <w:tab w:val="left" w:pos="6032"/>
          <w:tab w:val="left" w:pos="7833"/>
          <w:tab w:val="left" w:pos="8552"/>
          <w:tab w:val="left" w:pos="9270"/>
          <w:tab w:val="left" w:pos="10124"/>
        </w:tabs>
        <w:kinsoku/>
        <w:wordWrap w:val="0"/>
        <w:overflowPunct/>
        <w:topLinePunct w:val="0"/>
        <w:autoSpaceDE w:val="0"/>
        <w:autoSpaceDN w:val="0"/>
        <w:bidi w:val="0"/>
        <w:adjustRightInd w:val="0"/>
        <w:snapToGrid w:val="0"/>
        <w:spacing w:before="0" w:line="360" w:lineRule="auto"/>
        <w:ind w:left="0" w:leftChars="0" w:right="0" w:firstLine="480" w:firstLineChars="200"/>
        <w:textAlignment w:val="auto"/>
        <w:rPr>
          <w:u w:val="none"/>
        </w:rPr>
      </w:pPr>
      <w:r>
        <w:t>1</w:t>
      </w:r>
      <w:r>
        <w:rPr>
          <w:rFonts w:hint="eastAsia"/>
          <w:lang w:val="en-US" w:eastAsia="zh-CN"/>
        </w:rPr>
        <w:t>.</w:t>
      </w:r>
      <w:r>
        <w:rPr>
          <w:u w:val="none"/>
        </w:rPr>
        <w:t>本次消防系统维护</w:t>
      </w:r>
      <w:r>
        <w:rPr>
          <w:rFonts w:hint="eastAsia"/>
          <w:u w:val="none"/>
          <w:lang w:val="en-US" w:eastAsia="zh-CN"/>
        </w:rPr>
        <w:t>期限</w:t>
      </w:r>
      <w:r>
        <w:rPr>
          <w:u w:val="none"/>
        </w:rPr>
        <w:t>为</w:t>
      </w:r>
      <w:r>
        <w:rPr>
          <w:rFonts w:hint="eastAsia"/>
          <w:spacing w:val="-1"/>
          <w:u w:val="none"/>
          <w:lang w:val="en-US" w:eastAsia="zh-CN"/>
        </w:rPr>
        <w:t>壹</w:t>
      </w:r>
      <w:r>
        <w:rPr>
          <w:rFonts w:hint="eastAsia"/>
          <w:u w:val="none"/>
          <w:lang w:eastAsia="zh-CN"/>
        </w:rPr>
        <w:t>年</w:t>
      </w:r>
      <w:r>
        <w:rPr>
          <w:u w:val="none"/>
        </w:rPr>
        <w:t>。</w:t>
      </w:r>
    </w:p>
    <w:p w14:paraId="7449448A">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eastAsia" w:cs="宋体"/>
          <w:sz w:val="24"/>
          <w:szCs w:val="24"/>
          <w:lang w:eastAsia="zh-CN"/>
        </w:rPr>
      </w:pPr>
      <w:r>
        <w:rPr>
          <w:rFonts w:hint="eastAsia"/>
          <w:lang w:val="en-US" w:eastAsia="zh-CN"/>
        </w:rPr>
        <w:t>2.</w:t>
      </w:r>
      <w:r>
        <w:rPr>
          <w:rFonts w:hint="eastAsia" w:cs="宋体"/>
          <w:sz w:val="24"/>
          <w:szCs w:val="24"/>
          <w:lang w:eastAsia="zh-CN"/>
        </w:rPr>
        <w:t>每月材料、设备单次</w:t>
      </w:r>
      <w:r>
        <w:rPr>
          <w:rFonts w:hint="eastAsia" w:cs="宋体"/>
          <w:sz w:val="24"/>
          <w:szCs w:val="24"/>
          <w:lang w:val="en-US" w:eastAsia="zh-CN"/>
        </w:rPr>
        <w:t>更换300元（含）以下的由服务单位承担所有费用</w:t>
      </w: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00元以上的，</w:t>
      </w:r>
      <w:r>
        <w:rPr>
          <w:rFonts w:hint="eastAsia" w:cs="宋体"/>
          <w:sz w:val="24"/>
          <w:szCs w:val="24"/>
          <w:lang w:val="en-US" w:eastAsia="zh-CN"/>
        </w:rPr>
        <w:t>服务单位负责提供解决方案报院方审核，具体费用由院方承担</w:t>
      </w:r>
      <w:r>
        <w:rPr>
          <w:rFonts w:hint="eastAsia" w:cs="宋体"/>
          <w:sz w:val="24"/>
          <w:szCs w:val="24"/>
          <w:lang w:eastAsia="zh-CN"/>
        </w:rPr>
        <w:t>。</w:t>
      </w:r>
    </w:p>
    <w:p w14:paraId="032756E3">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0" w:leftChars="0" w:right="0" w:rightChars="0" w:firstLine="482" w:firstLineChars="200"/>
        <w:textAlignment w:val="auto"/>
        <w:rPr>
          <w:rFonts w:ascii="宋体" w:hAnsi="宋体" w:eastAsia="宋体" w:cs="宋体"/>
          <w:b/>
          <w:sz w:val="24"/>
          <w:szCs w:val="22"/>
          <w:lang w:val="zh-CN" w:eastAsia="zh-CN" w:bidi="zh-CN"/>
        </w:rPr>
      </w:pPr>
      <w:r>
        <w:rPr>
          <w:rFonts w:hint="eastAsia" w:cs="宋体"/>
          <w:b/>
          <w:sz w:val="24"/>
          <w:szCs w:val="22"/>
          <w:lang w:val="en-US" w:eastAsia="zh-CN" w:bidi="zh-CN"/>
        </w:rPr>
        <w:t>二、</w:t>
      </w:r>
      <w:r>
        <w:rPr>
          <w:rFonts w:ascii="宋体" w:hAnsi="宋体" w:eastAsia="宋体" w:cs="宋体"/>
          <w:b/>
          <w:sz w:val="24"/>
          <w:szCs w:val="22"/>
          <w:lang w:val="zh-CN" w:eastAsia="zh-CN" w:bidi="zh-CN"/>
        </w:rPr>
        <w:t>维护保养质量</w:t>
      </w:r>
    </w:p>
    <w:p w14:paraId="24B12E74">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pPr>
      <w:r>
        <w:rPr>
          <w:rFonts w:hint="eastAsia"/>
          <w:lang w:eastAsia="zh-CN"/>
        </w:rPr>
        <w:t>（</w:t>
      </w:r>
      <w:r>
        <w:rPr>
          <w:rFonts w:hint="eastAsia"/>
          <w:lang w:val="en-US" w:eastAsia="zh-CN"/>
        </w:rPr>
        <w:t>一</w:t>
      </w:r>
      <w:r>
        <w:rPr>
          <w:rFonts w:hint="eastAsia"/>
          <w:lang w:eastAsia="zh-CN"/>
        </w:rPr>
        <w:t>）</w:t>
      </w:r>
      <w:r>
        <w:rPr>
          <w:rFonts w:hint="eastAsia"/>
          <w:lang w:val="en-US" w:eastAsia="zh-CN"/>
        </w:rPr>
        <w:t>基本</w:t>
      </w:r>
      <w:r>
        <w:t>要求</w:t>
      </w:r>
    </w:p>
    <w:p w14:paraId="516D73AC">
      <w:pPr>
        <w:pStyle w:val="3"/>
        <w:keepNext w:val="0"/>
        <w:keepLines w:val="0"/>
        <w:pageBreakBefore w:val="0"/>
        <w:widowControl w:val="0"/>
        <w:kinsoku/>
        <w:wordWrap w:val="0"/>
        <w:overflowPunct/>
        <w:topLinePunct w:val="0"/>
        <w:autoSpaceDE w:val="0"/>
        <w:autoSpaceDN w:val="0"/>
        <w:bidi w:val="0"/>
        <w:adjustRightInd w:val="0"/>
        <w:snapToGrid w:val="0"/>
        <w:spacing w:before="0" w:line="360" w:lineRule="auto"/>
        <w:ind w:left="0" w:leftChars="0" w:right="0" w:firstLine="480" w:firstLineChars="200"/>
        <w:textAlignment w:val="auto"/>
      </w:pPr>
      <w:r>
        <w:rPr>
          <w:rFonts w:hint="eastAsia"/>
          <w:lang w:val="en-US" w:eastAsia="zh-CN"/>
        </w:rPr>
        <w:t>1.</w:t>
      </w:r>
      <w:r>
        <w:t>本项目消防设施维护保养质量标准必须符合《建筑消防设施的维护管理》（GB25201）《建筑消防设施的维护技术规范》（DB52/T1152--2016）及现行国家有关消防设施系统相关规范和标准的要求。有关项目服务质量的特殊标准或要求</w:t>
      </w:r>
      <w:r>
        <w:rPr>
          <w:rFonts w:hint="eastAsia"/>
          <w:lang w:eastAsia="zh-CN"/>
        </w:rPr>
        <w:t>，</w:t>
      </w:r>
      <w:r>
        <w:rPr>
          <w:rFonts w:hint="eastAsia"/>
          <w:lang w:val="en-US" w:eastAsia="zh-CN"/>
        </w:rPr>
        <w:t>可</w:t>
      </w:r>
      <w:r>
        <w:t>另行约定。</w:t>
      </w:r>
    </w:p>
    <w:p w14:paraId="37F3614E">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default"/>
          <w:b w:val="0"/>
          <w:bCs w:val="0"/>
          <w:lang w:val="en-US" w:eastAsia="zh-CN"/>
        </w:rPr>
      </w:pPr>
      <w:r>
        <w:rPr>
          <w:rFonts w:hint="eastAsia"/>
          <w:b w:val="0"/>
          <w:bCs w:val="0"/>
          <w:lang w:val="en-US" w:eastAsia="zh-CN"/>
        </w:rPr>
        <w:t>2.服务单位需全面负责本项目范围内的建筑消防设施维护保养，按相关法律法规行业标准，认真履行维保责任，确保相关设备设施始终有效运行。因服务单位疏忽或偷工减料等不按规范、不认真落实维保责任造成的一切后果，服务单位承诺承担全部责任。</w:t>
      </w:r>
    </w:p>
    <w:p w14:paraId="1C8FC3BA">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eastAsia"/>
          <w:b w:val="0"/>
          <w:bCs w:val="0"/>
          <w:lang w:eastAsia="zh-CN"/>
        </w:rPr>
      </w:pPr>
      <w:r>
        <w:rPr>
          <w:rFonts w:hint="eastAsia"/>
          <w:b w:val="0"/>
          <w:bCs w:val="0"/>
          <w:lang w:val="en-US" w:eastAsia="zh-CN"/>
        </w:rPr>
        <w:t>3.</w:t>
      </w:r>
      <w:r>
        <w:rPr>
          <w:rFonts w:hint="eastAsia"/>
          <w:b w:val="0"/>
          <w:bCs w:val="0"/>
          <w:lang w:eastAsia="zh-CN"/>
        </w:rPr>
        <w:t>未经</w:t>
      </w:r>
      <w:r>
        <w:rPr>
          <w:rFonts w:hint="eastAsia"/>
          <w:b w:val="0"/>
          <w:bCs w:val="0"/>
          <w:lang w:val="en-US" w:eastAsia="zh-CN"/>
        </w:rPr>
        <w:t>院</w:t>
      </w:r>
      <w:r>
        <w:rPr>
          <w:rFonts w:hint="eastAsia"/>
          <w:b w:val="0"/>
          <w:bCs w:val="0"/>
          <w:lang w:eastAsia="zh-CN"/>
        </w:rPr>
        <w:t>方事先书面同意，</w:t>
      </w:r>
      <w:r>
        <w:rPr>
          <w:rFonts w:hint="eastAsia"/>
          <w:b w:val="0"/>
          <w:bCs w:val="0"/>
          <w:lang w:val="en-US" w:eastAsia="zh-CN"/>
        </w:rPr>
        <w:t>服务单位</w:t>
      </w:r>
      <w:r>
        <w:rPr>
          <w:rFonts w:hint="eastAsia"/>
          <w:b w:val="0"/>
          <w:bCs w:val="0"/>
          <w:lang w:eastAsia="zh-CN"/>
        </w:rPr>
        <w:t>不得将本</w:t>
      </w:r>
      <w:r>
        <w:rPr>
          <w:rFonts w:hint="eastAsia"/>
          <w:b w:val="0"/>
          <w:bCs w:val="0"/>
          <w:lang w:val="en-US" w:eastAsia="zh-CN"/>
        </w:rPr>
        <w:t>项目</w:t>
      </w:r>
      <w:r>
        <w:rPr>
          <w:rFonts w:hint="eastAsia"/>
          <w:b w:val="0"/>
          <w:bCs w:val="0"/>
          <w:lang w:eastAsia="zh-CN"/>
        </w:rPr>
        <w:t>部分或全部转让或替代给任何第三方。</w:t>
      </w:r>
    </w:p>
    <w:p w14:paraId="0837F3F9">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68" w:firstLineChars="200"/>
        <w:textAlignment w:val="auto"/>
        <w:rPr>
          <w:color w:val="000000"/>
        </w:rPr>
      </w:pPr>
      <w:r>
        <w:rPr>
          <w:rFonts w:hint="eastAsia"/>
          <w:spacing w:val="-3"/>
          <w:sz w:val="24"/>
          <w:lang w:val="en-US" w:eastAsia="zh-CN"/>
        </w:rPr>
        <w:t>4.</w:t>
      </w:r>
      <w:r>
        <w:rPr>
          <w:rFonts w:hint="eastAsia"/>
          <w:b w:val="0"/>
          <w:bCs w:val="0"/>
          <w:lang w:val="en-US" w:eastAsia="zh-CN"/>
        </w:rPr>
        <w:t>服务</w:t>
      </w:r>
      <w:r>
        <w:rPr>
          <w:rFonts w:hint="eastAsia"/>
          <w:b w:val="0"/>
          <w:bCs w:val="0"/>
          <w:color w:val="000000"/>
          <w:lang w:val="en-US" w:eastAsia="zh-CN"/>
        </w:rPr>
        <w:t>单位</w:t>
      </w:r>
      <w:r>
        <w:rPr>
          <w:color w:val="000000"/>
          <w:spacing w:val="-3"/>
          <w:sz w:val="24"/>
        </w:rPr>
        <w:t>应</w:t>
      </w:r>
      <w:r>
        <w:rPr>
          <w:rFonts w:hint="eastAsia"/>
          <w:color w:val="000000"/>
          <w:spacing w:val="-3"/>
          <w:sz w:val="24"/>
          <w:lang w:val="en-US" w:eastAsia="zh-CN"/>
        </w:rPr>
        <w:t>明确一位</w:t>
      </w:r>
      <w:r>
        <w:rPr>
          <w:color w:val="000000"/>
          <w:spacing w:val="-3"/>
          <w:sz w:val="24"/>
        </w:rPr>
        <w:t>项目负责人，全面负责该项目的维护保养工作。</w:t>
      </w:r>
      <w:r>
        <w:rPr>
          <w:rFonts w:hint="eastAsia"/>
          <w:color w:val="000000"/>
          <w:spacing w:val="-3"/>
          <w:sz w:val="24"/>
        </w:rPr>
        <w:t>项目负责人需持有：一级注册消防工程师证</w:t>
      </w:r>
      <w:r>
        <w:rPr>
          <w:rFonts w:hint="eastAsia"/>
          <w:color w:val="000000"/>
          <w:spacing w:val="-3"/>
          <w:sz w:val="24"/>
          <w:lang w:eastAsia="zh-CN"/>
        </w:rPr>
        <w:t>，</w:t>
      </w:r>
      <w:r>
        <w:rPr>
          <w:rFonts w:hint="eastAsia"/>
          <w:color w:val="000000"/>
          <w:spacing w:val="-3"/>
          <w:sz w:val="24"/>
          <w:lang w:val="en-US" w:eastAsia="zh-CN"/>
        </w:rPr>
        <w:t>相关管理人员需提前报院方审核批准。</w:t>
      </w:r>
    </w:p>
    <w:p w14:paraId="7DE1DD9C">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color w:val="000000"/>
          <w:spacing w:val="-3"/>
          <w:sz w:val="24"/>
        </w:rPr>
      </w:pPr>
      <w:r>
        <w:rPr>
          <w:rFonts w:hint="eastAsia"/>
          <w:color w:val="000000"/>
          <w:spacing w:val="-3"/>
          <w:sz w:val="24"/>
          <w:lang w:val="en-US" w:eastAsia="zh-CN"/>
        </w:rPr>
        <w:t>5.</w:t>
      </w:r>
      <w:r>
        <w:rPr>
          <w:rFonts w:hint="eastAsia"/>
          <w:b w:val="0"/>
          <w:bCs w:val="0"/>
          <w:color w:val="000000"/>
          <w:lang w:val="en-US" w:eastAsia="zh-CN"/>
        </w:rPr>
        <w:t>服务单位</w:t>
      </w:r>
      <w:r>
        <w:rPr>
          <w:color w:val="000000"/>
          <w:spacing w:val="-3"/>
          <w:sz w:val="24"/>
        </w:rPr>
        <w:t>派往维护保养现场的主要管理人员、技术人员应相对稳定</w:t>
      </w:r>
      <w:r>
        <w:rPr>
          <w:rFonts w:hint="eastAsia"/>
          <w:color w:val="000000"/>
          <w:spacing w:val="-3"/>
          <w:sz w:val="24"/>
          <w:lang w:eastAsia="zh-CN"/>
        </w:rPr>
        <w:t>，</w:t>
      </w:r>
      <w:r>
        <w:rPr>
          <w:rFonts w:hint="eastAsia"/>
          <w:color w:val="000000"/>
          <w:spacing w:val="-3"/>
          <w:sz w:val="24"/>
          <w:lang w:val="en-US" w:eastAsia="zh-CN"/>
        </w:rPr>
        <w:t>不得擅自变更，</w:t>
      </w:r>
      <w:r>
        <w:rPr>
          <w:color w:val="000000"/>
          <w:spacing w:val="-3"/>
          <w:sz w:val="24"/>
        </w:rPr>
        <w:t>维护保养作业人员均应持有相应的资格证件。</w:t>
      </w:r>
      <w:r>
        <w:rPr>
          <w:rFonts w:hint="eastAsia"/>
          <w:color w:val="000000"/>
          <w:spacing w:val="-3"/>
          <w:sz w:val="24"/>
          <w:lang w:val="en-US" w:eastAsia="zh-CN"/>
        </w:rPr>
        <w:t>项目服务期间确需变更的应提前5个工作日向院方负责人申请变更</w:t>
      </w:r>
      <w:r>
        <w:rPr>
          <w:color w:val="000000"/>
          <w:spacing w:val="-3"/>
          <w:sz w:val="24"/>
        </w:rPr>
        <w:t>，</w:t>
      </w:r>
      <w:r>
        <w:rPr>
          <w:rFonts w:hint="eastAsia"/>
          <w:color w:val="000000"/>
          <w:spacing w:val="-3"/>
          <w:sz w:val="24"/>
          <w:lang w:val="en-US" w:eastAsia="zh-CN"/>
        </w:rPr>
        <w:t>并</w:t>
      </w:r>
      <w:r>
        <w:rPr>
          <w:color w:val="000000"/>
          <w:spacing w:val="-3"/>
          <w:sz w:val="24"/>
        </w:rPr>
        <w:t>提交人员变动情况的报告资料</w:t>
      </w:r>
      <w:r>
        <w:rPr>
          <w:rFonts w:hint="eastAsia"/>
          <w:color w:val="000000"/>
          <w:spacing w:val="-3"/>
          <w:sz w:val="24"/>
          <w:lang w:eastAsia="zh-CN"/>
        </w:rPr>
        <w:t>，</w:t>
      </w:r>
      <w:r>
        <w:rPr>
          <w:rFonts w:hint="eastAsia"/>
          <w:color w:val="000000"/>
          <w:spacing w:val="-3"/>
          <w:sz w:val="24"/>
          <w:lang w:val="en-US" w:eastAsia="zh-CN"/>
        </w:rPr>
        <w:t>审核通过后方可变更</w:t>
      </w:r>
      <w:r>
        <w:rPr>
          <w:color w:val="000000"/>
          <w:spacing w:val="-3"/>
          <w:sz w:val="24"/>
        </w:rPr>
        <w:t>。</w:t>
      </w:r>
    </w:p>
    <w:p w14:paraId="0406283B">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68" w:firstLineChars="200"/>
        <w:textAlignment w:val="auto"/>
        <w:rPr>
          <w:spacing w:val="-3"/>
          <w:sz w:val="24"/>
        </w:rPr>
      </w:pPr>
      <w:r>
        <w:rPr>
          <w:rFonts w:hint="eastAsia"/>
          <w:color w:val="000000"/>
          <w:spacing w:val="-3"/>
          <w:sz w:val="24"/>
          <w:lang w:val="en-US" w:eastAsia="zh-CN"/>
        </w:rPr>
        <w:t>6.服务单位应根据相关要求，完善相关工作制定相关操作规范操作流程，制定年度、季度、月度服务计划，提交院方审核后严格落实，积极主动开展工作，担当作为，按</w:t>
      </w:r>
      <w:r>
        <w:rPr>
          <w:rFonts w:hint="eastAsia"/>
          <w:spacing w:val="-3"/>
          <w:sz w:val="24"/>
          <w:lang w:val="en-US" w:eastAsia="zh-CN"/>
        </w:rPr>
        <w:t>要求建立工作档案，服务过程中主动接受院方监督检查，认真完成检查中提出的整改意见</w:t>
      </w:r>
      <w:r>
        <w:rPr>
          <w:spacing w:val="-3"/>
          <w:sz w:val="24"/>
        </w:rPr>
        <w:t>。</w:t>
      </w:r>
    </w:p>
    <w:p w14:paraId="022E1A37">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color w:val="000000"/>
        </w:rPr>
      </w:pPr>
      <w:r>
        <w:rPr>
          <w:rFonts w:hint="eastAsia" w:cs="宋体"/>
          <w:sz w:val="24"/>
          <w:szCs w:val="24"/>
          <w:lang w:val="en-US" w:eastAsia="zh-CN" w:bidi="zh-CN"/>
        </w:rPr>
        <w:t>7.</w:t>
      </w:r>
      <w:r>
        <w:rPr>
          <w:rFonts w:hint="eastAsia"/>
          <w:lang w:eastAsia="zh-CN"/>
        </w:rPr>
        <w:t>服务单位</w:t>
      </w:r>
      <w:r>
        <w:t>应对维护人员进行质量教育和技术培训，定期考核维护人员的业务技能，严格执行</w:t>
      </w:r>
      <w:r>
        <w:rPr>
          <w:color w:val="000000"/>
        </w:rPr>
        <w:t>相关规范和操作规程。</w:t>
      </w:r>
    </w:p>
    <w:p w14:paraId="744DDDE8">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rFonts w:hint="eastAsia"/>
          <w:color w:val="000000"/>
          <w:spacing w:val="-3"/>
          <w:sz w:val="24"/>
          <w:lang w:eastAsia="zh-CN"/>
        </w:rPr>
      </w:pPr>
      <w:r>
        <w:rPr>
          <w:rFonts w:hint="eastAsia"/>
          <w:color w:val="000000"/>
          <w:spacing w:val="-3"/>
          <w:sz w:val="24"/>
          <w:lang w:val="en-US" w:eastAsia="zh-CN"/>
        </w:rPr>
        <w:t>8.院方</w:t>
      </w:r>
      <w:r>
        <w:rPr>
          <w:color w:val="000000"/>
          <w:spacing w:val="-3"/>
          <w:sz w:val="24"/>
        </w:rPr>
        <w:t>对</w:t>
      </w:r>
      <w:r>
        <w:rPr>
          <w:rFonts w:hint="eastAsia"/>
          <w:color w:val="000000"/>
          <w:spacing w:val="-3"/>
          <w:sz w:val="24"/>
          <w:lang w:eastAsia="zh-CN"/>
        </w:rPr>
        <w:t>服务单位</w:t>
      </w:r>
      <w:r>
        <w:rPr>
          <w:color w:val="000000"/>
          <w:spacing w:val="-3"/>
          <w:sz w:val="24"/>
        </w:rPr>
        <w:t>维护保养工作人员进行</w:t>
      </w:r>
      <w:r>
        <w:rPr>
          <w:rFonts w:hint="eastAsia"/>
          <w:color w:val="000000"/>
          <w:spacing w:val="-3"/>
          <w:sz w:val="24"/>
          <w:lang w:eastAsia="zh-CN"/>
        </w:rPr>
        <w:t>月</w:t>
      </w:r>
      <w:r>
        <w:rPr>
          <w:color w:val="000000"/>
          <w:spacing w:val="-3"/>
          <w:sz w:val="24"/>
        </w:rPr>
        <w:t>检查考评，有权对不称职的项目负责人、维护保养人员提出更换要求</w:t>
      </w:r>
      <w:r>
        <w:rPr>
          <w:rFonts w:hint="eastAsia"/>
          <w:color w:val="000000"/>
          <w:spacing w:val="-3"/>
          <w:sz w:val="24"/>
          <w:lang w:eastAsia="zh-CN"/>
        </w:rPr>
        <w:t>，如发生合计</w:t>
      </w:r>
      <w:r>
        <w:rPr>
          <w:rFonts w:hint="eastAsia"/>
          <w:color w:val="000000"/>
          <w:spacing w:val="-3"/>
          <w:sz w:val="24"/>
          <w:lang w:val="en-US" w:eastAsia="zh-CN"/>
        </w:rPr>
        <w:t>3个月考评不合格的，可终止合同</w:t>
      </w:r>
      <w:r>
        <w:rPr>
          <w:color w:val="000000"/>
          <w:spacing w:val="-3"/>
          <w:sz w:val="24"/>
        </w:rPr>
        <w:t>。</w:t>
      </w:r>
      <w:r>
        <w:rPr>
          <w:rFonts w:hint="eastAsia"/>
          <w:color w:val="000000"/>
          <w:spacing w:val="-3"/>
          <w:sz w:val="24"/>
          <w:lang w:eastAsia="zh-CN"/>
        </w:rPr>
        <w:t>（附件</w:t>
      </w:r>
      <w:r>
        <w:rPr>
          <w:rFonts w:hint="eastAsia"/>
          <w:color w:val="000000"/>
          <w:spacing w:val="-3"/>
          <w:sz w:val="24"/>
          <w:lang w:val="en-US" w:eastAsia="zh-CN"/>
        </w:rPr>
        <w:t>1</w:t>
      </w:r>
      <w:r>
        <w:rPr>
          <w:rFonts w:hint="eastAsia"/>
          <w:color w:val="000000"/>
          <w:spacing w:val="-3"/>
          <w:sz w:val="24"/>
          <w:lang w:eastAsia="zh-CN"/>
        </w:rPr>
        <w:t>：月度考评表）</w:t>
      </w:r>
    </w:p>
    <w:p w14:paraId="755EAE78">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rFonts w:hint="default"/>
          <w:color w:val="000000"/>
          <w:spacing w:val="-3"/>
          <w:sz w:val="24"/>
          <w:lang w:val="en-US" w:eastAsia="zh-CN"/>
        </w:rPr>
      </w:pPr>
      <w:r>
        <w:rPr>
          <w:rFonts w:hint="eastAsia"/>
          <w:color w:val="000000"/>
          <w:spacing w:val="-3"/>
          <w:sz w:val="24"/>
          <w:lang w:val="en-US" w:eastAsia="zh-CN"/>
        </w:rPr>
        <w:t>9.在合同到期前1个月内，保卫部门组织医院相关科室根据服务单位月度评价，综合日常工作情况进行整个年度考核，考核不合格的不再合作，且取消服务单位下一年度的合作资格。（</w:t>
      </w:r>
      <w:r>
        <w:rPr>
          <w:rFonts w:hint="eastAsia"/>
          <w:color w:val="000000"/>
          <w:spacing w:val="-3"/>
          <w:sz w:val="24"/>
          <w:lang w:eastAsia="zh-CN"/>
        </w:rPr>
        <w:t>附件</w:t>
      </w:r>
      <w:r>
        <w:rPr>
          <w:rFonts w:hint="eastAsia"/>
          <w:color w:val="000000"/>
          <w:spacing w:val="-3"/>
          <w:sz w:val="24"/>
          <w:lang w:val="en-US" w:eastAsia="zh-CN"/>
        </w:rPr>
        <w:t>2</w:t>
      </w:r>
      <w:r>
        <w:rPr>
          <w:rFonts w:hint="eastAsia"/>
          <w:color w:val="000000"/>
          <w:spacing w:val="-3"/>
          <w:sz w:val="24"/>
          <w:lang w:eastAsia="zh-CN"/>
        </w:rPr>
        <w:t>：年终考评表</w:t>
      </w:r>
      <w:r>
        <w:rPr>
          <w:rFonts w:hint="eastAsia"/>
          <w:color w:val="000000"/>
          <w:spacing w:val="-3"/>
          <w:sz w:val="24"/>
          <w:lang w:val="en-US" w:eastAsia="zh-CN"/>
        </w:rPr>
        <w:t>）</w:t>
      </w:r>
    </w:p>
    <w:p w14:paraId="2CEEEABD">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left"/>
        <w:textAlignment w:val="auto"/>
        <w:rPr>
          <w:spacing w:val="-12"/>
          <w:sz w:val="24"/>
          <w:u w:val="none"/>
        </w:rPr>
      </w:pPr>
      <w:r>
        <w:rPr>
          <w:rFonts w:hint="eastAsia"/>
          <w:sz w:val="24"/>
          <w:lang w:val="en-US" w:eastAsia="zh-CN"/>
        </w:rPr>
        <w:t>10.</w:t>
      </w:r>
      <w:r>
        <w:rPr>
          <w:sz w:val="24"/>
        </w:rPr>
        <w:t>提供24小时维护保养服务电话，接到</w:t>
      </w:r>
      <w:r>
        <w:rPr>
          <w:rFonts w:hint="eastAsia"/>
          <w:sz w:val="24"/>
          <w:lang w:eastAsia="zh-CN"/>
        </w:rPr>
        <w:t>院方</w:t>
      </w:r>
      <w:r>
        <w:rPr>
          <w:sz w:val="24"/>
        </w:rPr>
        <w:t>故障通知后，应</w:t>
      </w:r>
      <w:r>
        <w:rPr>
          <w:rFonts w:hint="eastAsia"/>
          <w:sz w:val="24"/>
          <w:lang w:eastAsia="zh-CN"/>
        </w:rPr>
        <w:t>根据故障情况</w:t>
      </w:r>
      <w:r>
        <w:rPr>
          <w:sz w:val="24"/>
        </w:rPr>
        <w:t>于</w:t>
      </w:r>
      <w:r>
        <w:rPr>
          <w:rFonts w:hint="eastAsia"/>
          <w:sz w:val="24"/>
          <w:lang w:val="en-US" w:eastAsia="zh-CN"/>
        </w:rPr>
        <w:t>2、4、12</w:t>
      </w:r>
      <w:r>
        <w:rPr>
          <w:sz w:val="24"/>
        </w:rPr>
        <w:t>小时内派遣服务技术人员到场维护处理。</w:t>
      </w:r>
    </w:p>
    <w:p w14:paraId="712096DC">
      <w:pPr>
        <w:numPr>
          <w:ilvl w:val="0"/>
          <w:numId w:val="2"/>
        </w:numPr>
        <w:spacing w:before="156" w:beforeLines="50" w:after="156" w:afterLines="50" w:line="360" w:lineRule="auto"/>
        <w:rPr>
          <w:rFonts w:ascii="宋体"/>
          <w:sz w:val="24"/>
          <w:szCs w:val="24"/>
        </w:rPr>
      </w:pPr>
      <w:r>
        <w:rPr>
          <w:rFonts w:hint="eastAsia" w:ascii="宋体" w:hAnsi="宋体"/>
          <w:sz w:val="24"/>
          <w:szCs w:val="24"/>
        </w:rPr>
        <w:t>一级故障（重大故障）：</w:t>
      </w:r>
      <w:r>
        <w:rPr>
          <w:rFonts w:hint="eastAsia" w:ascii="宋体" w:hAnsi="宋体"/>
          <w:sz w:val="24"/>
          <w:szCs w:val="24"/>
          <w:lang w:eastAsia="zh-CN"/>
        </w:rPr>
        <w:t>消防</w:t>
      </w:r>
      <w:r>
        <w:rPr>
          <w:rFonts w:ascii="宋体" w:hAnsi="宋体"/>
          <w:sz w:val="24"/>
          <w:szCs w:val="24"/>
        </w:rPr>
        <w:t>系统出现故障</w:t>
      </w:r>
      <w:r>
        <w:rPr>
          <w:rFonts w:hint="eastAsia" w:ascii="宋体" w:hAnsi="宋体"/>
          <w:sz w:val="24"/>
          <w:szCs w:val="24"/>
        </w:rPr>
        <w:t>，导致系统的基本功能不能实现；</w:t>
      </w:r>
    </w:p>
    <w:p w14:paraId="1350374E">
      <w:pPr>
        <w:numPr>
          <w:ilvl w:val="0"/>
          <w:numId w:val="2"/>
        </w:numPr>
        <w:spacing w:before="156" w:beforeLines="50" w:after="156" w:afterLines="50" w:line="360" w:lineRule="auto"/>
        <w:rPr>
          <w:rFonts w:ascii="宋体"/>
          <w:sz w:val="24"/>
          <w:szCs w:val="24"/>
        </w:rPr>
      </w:pPr>
      <w:r>
        <w:rPr>
          <w:rFonts w:hint="eastAsia" w:ascii="宋体" w:hAnsi="宋体"/>
          <w:sz w:val="24"/>
          <w:szCs w:val="24"/>
        </w:rPr>
        <w:t>二级故障（主要故障）：指楼层</w:t>
      </w:r>
      <w:r>
        <w:rPr>
          <w:rFonts w:hint="eastAsia" w:ascii="宋体" w:hAnsi="宋体"/>
          <w:sz w:val="24"/>
          <w:szCs w:val="24"/>
          <w:lang w:eastAsia="zh-CN"/>
        </w:rPr>
        <w:t>设施设备</w:t>
      </w:r>
      <w:r>
        <w:rPr>
          <w:rFonts w:hint="eastAsia" w:ascii="宋体" w:hAnsi="宋体"/>
          <w:sz w:val="24"/>
          <w:szCs w:val="24"/>
        </w:rPr>
        <w:t>，导致部分区域</w:t>
      </w:r>
      <w:r>
        <w:rPr>
          <w:rFonts w:ascii="宋体" w:hAnsi="宋体"/>
          <w:sz w:val="24"/>
          <w:szCs w:val="24"/>
        </w:rPr>
        <w:t>的</w:t>
      </w:r>
      <w:r>
        <w:rPr>
          <w:rFonts w:hint="eastAsia" w:ascii="宋体" w:hAnsi="宋体"/>
          <w:sz w:val="24"/>
          <w:szCs w:val="24"/>
          <w:lang w:eastAsia="zh-CN"/>
        </w:rPr>
        <w:t>消防系统故障，</w:t>
      </w:r>
      <w:r>
        <w:rPr>
          <w:rFonts w:ascii="宋体" w:hAnsi="宋体"/>
          <w:sz w:val="24"/>
          <w:szCs w:val="24"/>
        </w:rPr>
        <w:t>影响部分区域的</w:t>
      </w:r>
      <w:r>
        <w:rPr>
          <w:rFonts w:hint="eastAsia" w:ascii="宋体" w:hAnsi="宋体"/>
          <w:sz w:val="24"/>
          <w:szCs w:val="24"/>
          <w:lang w:eastAsia="zh-CN"/>
        </w:rPr>
        <w:t>消防系统运行</w:t>
      </w:r>
      <w:r>
        <w:rPr>
          <w:rFonts w:hint="eastAsia" w:ascii="宋体" w:hAnsi="宋体"/>
          <w:sz w:val="24"/>
          <w:szCs w:val="24"/>
        </w:rPr>
        <w:t>。</w:t>
      </w:r>
    </w:p>
    <w:p w14:paraId="3EDA3104">
      <w:pPr>
        <w:numPr>
          <w:ilvl w:val="0"/>
          <w:numId w:val="2"/>
        </w:numPr>
        <w:spacing w:before="156" w:beforeLines="50" w:after="156" w:afterLines="50" w:line="360" w:lineRule="auto"/>
        <w:rPr>
          <w:rFonts w:ascii="宋体"/>
          <w:sz w:val="24"/>
          <w:szCs w:val="24"/>
        </w:rPr>
      </w:pPr>
      <w:r>
        <w:rPr>
          <w:rFonts w:hint="eastAsia" w:ascii="宋体" w:hAnsi="宋体"/>
          <w:sz w:val="24"/>
          <w:szCs w:val="24"/>
        </w:rPr>
        <w:t>三级故障（次要故障）：指</w:t>
      </w:r>
      <w:r>
        <w:rPr>
          <w:rFonts w:hint="eastAsia" w:ascii="宋体" w:hAnsi="宋体"/>
          <w:sz w:val="24"/>
          <w:szCs w:val="24"/>
          <w:lang w:eastAsia="zh-CN"/>
        </w:rPr>
        <w:t>小部分系统故障</w:t>
      </w:r>
      <w:r>
        <w:rPr>
          <w:rFonts w:hint="eastAsia" w:ascii="宋体" w:hAnsi="宋体"/>
          <w:sz w:val="24"/>
          <w:szCs w:val="24"/>
        </w:rPr>
        <w:t>，但关键</w:t>
      </w:r>
      <w:r>
        <w:rPr>
          <w:rFonts w:hint="eastAsia" w:ascii="宋体" w:hAnsi="宋体"/>
          <w:sz w:val="24"/>
          <w:szCs w:val="24"/>
          <w:lang w:eastAsia="zh-CN"/>
        </w:rPr>
        <w:t>系统</w:t>
      </w:r>
      <w:r>
        <w:rPr>
          <w:rFonts w:hint="eastAsia" w:ascii="宋体" w:hAnsi="宋体"/>
          <w:sz w:val="24"/>
          <w:szCs w:val="24"/>
        </w:rPr>
        <w:t>不受影响的故障。</w:t>
      </w:r>
    </w:p>
    <w:p w14:paraId="1AD0DC9B">
      <w:pPr>
        <w:pStyle w:val="11"/>
        <w:ind w:firstLine="120" w:firstLineChars="50"/>
        <w:rPr>
          <w:rFonts w:ascii="宋体"/>
          <w:b/>
          <w:sz w:val="24"/>
          <w:szCs w:val="24"/>
        </w:rPr>
      </w:pPr>
      <w:r>
        <w:rPr>
          <w:rFonts w:hint="eastAsia" w:ascii="宋体" w:hAnsi="宋体"/>
          <w:b/>
          <w:sz w:val="24"/>
          <w:szCs w:val="24"/>
        </w:rPr>
        <w:t>服务总体划分</w:t>
      </w:r>
    </w:p>
    <w:tbl>
      <w:tblPr>
        <w:tblStyle w:val="7"/>
        <w:tblW w:w="0" w:type="auto"/>
        <w:jc w:val="center"/>
        <w:tblLayout w:type="fixed"/>
        <w:tblCellMar>
          <w:top w:w="0" w:type="dxa"/>
          <w:left w:w="108" w:type="dxa"/>
          <w:bottom w:w="0" w:type="dxa"/>
          <w:right w:w="108" w:type="dxa"/>
        </w:tblCellMar>
      </w:tblPr>
      <w:tblGrid>
        <w:gridCol w:w="1831"/>
        <w:gridCol w:w="7508"/>
      </w:tblGrid>
      <w:tr w14:paraId="7105FDD2">
        <w:tblPrEx>
          <w:tblCellMar>
            <w:top w:w="0" w:type="dxa"/>
            <w:left w:w="108" w:type="dxa"/>
            <w:bottom w:w="0" w:type="dxa"/>
            <w:right w:w="108" w:type="dxa"/>
          </w:tblCellMar>
        </w:tblPrEx>
        <w:trPr>
          <w:cantSplit/>
          <w:trHeight w:val="516" w:hRule="atLeast"/>
          <w:jc w:val="center"/>
        </w:trPr>
        <w:tc>
          <w:tcPr>
            <w:tcW w:w="1831" w:type="dxa"/>
            <w:tcBorders>
              <w:top w:val="single" w:color="000000" w:sz="4" w:space="0"/>
              <w:left w:val="single" w:color="000000" w:sz="4" w:space="0"/>
              <w:bottom w:val="single" w:color="000000" w:sz="4" w:space="0"/>
              <w:right w:val="single" w:color="000000" w:sz="4" w:space="0"/>
            </w:tcBorders>
            <w:noWrap w:val="0"/>
            <w:vAlign w:val="center"/>
          </w:tcPr>
          <w:p w14:paraId="10C3509B">
            <w:pPr>
              <w:adjustRightInd w:val="0"/>
              <w:snapToGrid w:val="0"/>
              <w:ind w:firstLine="482"/>
              <w:jc w:val="center"/>
              <w:rPr>
                <w:rFonts w:ascii="宋体"/>
                <w:b/>
                <w:sz w:val="24"/>
                <w:szCs w:val="24"/>
              </w:rPr>
            </w:pPr>
            <w:r>
              <w:rPr>
                <w:rFonts w:hint="eastAsia" w:ascii="宋体" w:hAnsi="宋体"/>
                <w:b/>
                <w:sz w:val="24"/>
                <w:szCs w:val="24"/>
              </w:rPr>
              <w:t>服务等级</w:t>
            </w:r>
          </w:p>
        </w:tc>
        <w:tc>
          <w:tcPr>
            <w:tcW w:w="7508" w:type="dxa"/>
            <w:tcBorders>
              <w:top w:val="single" w:color="000000" w:sz="4" w:space="0"/>
              <w:left w:val="nil"/>
              <w:bottom w:val="single" w:color="000000" w:sz="4" w:space="0"/>
              <w:right w:val="single" w:color="000000" w:sz="4" w:space="0"/>
            </w:tcBorders>
            <w:noWrap w:val="0"/>
            <w:vAlign w:val="center"/>
          </w:tcPr>
          <w:p w14:paraId="69EC8009">
            <w:pPr>
              <w:adjustRightInd w:val="0"/>
              <w:snapToGrid w:val="0"/>
              <w:ind w:firstLine="482"/>
              <w:jc w:val="center"/>
              <w:rPr>
                <w:rFonts w:ascii="宋体"/>
                <w:b/>
                <w:sz w:val="24"/>
                <w:szCs w:val="24"/>
              </w:rPr>
            </w:pPr>
            <w:r>
              <w:rPr>
                <w:rFonts w:hint="eastAsia" w:ascii="宋体" w:hAnsi="宋体"/>
                <w:b/>
                <w:sz w:val="24"/>
                <w:szCs w:val="24"/>
              </w:rPr>
              <w:t>服务描述</w:t>
            </w:r>
          </w:p>
        </w:tc>
      </w:tr>
      <w:tr w14:paraId="1890CC63">
        <w:tblPrEx>
          <w:tblCellMar>
            <w:top w:w="0" w:type="dxa"/>
            <w:left w:w="108" w:type="dxa"/>
            <w:bottom w:w="0" w:type="dxa"/>
            <w:right w:w="108" w:type="dxa"/>
          </w:tblCellMar>
        </w:tblPrEx>
        <w:trPr>
          <w:cantSplit/>
          <w:trHeight w:val="539" w:hRule="atLeast"/>
          <w:jc w:val="center"/>
        </w:trPr>
        <w:tc>
          <w:tcPr>
            <w:tcW w:w="1831" w:type="dxa"/>
            <w:tcBorders>
              <w:top w:val="single" w:color="000000" w:sz="4" w:space="0"/>
              <w:left w:val="single" w:color="000000" w:sz="4" w:space="0"/>
              <w:bottom w:val="single" w:color="000000" w:sz="4" w:space="0"/>
              <w:right w:val="single" w:color="000000" w:sz="4" w:space="0"/>
            </w:tcBorders>
            <w:noWrap w:val="0"/>
            <w:vAlign w:val="center"/>
          </w:tcPr>
          <w:p w14:paraId="733F1E7D">
            <w:pPr>
              <w:adjustRightInd w:val="0"/>
              <w:snapToGrid w:val="0"/>
              <w:ind w:firstLine="480"/>
              <w:jc w:val="center"/>
              <w:rPr>
                <w:rFonts w:ascii="宋体"/>
                <w:sz w:val="24"/>
                <w:szCs w:val="24"/>
              </w:rPr>
            </w:pPr>
            <w:r>
              <w:rPr>
                <w:rFonts w:ascii="宋体" w:hAnsi="宋体"/>
                <w:sz w:val="24"/>
                <w:szCs w:val="24"/>
              </w:rPr>
              <w:t>A</w:t>
            </w:r>
            <w:r>
              <w:rPr>
                <w:rFonts w:hint="eastAsia" w:ascii="宋体" w:hAnsi="宋体"/>
                <w:sz w:val="24"/>
                <w:szCs w:val="24"/>
              </w:rPr>
              <w:t>级</w:t>
            </w:r>
          </w:p>
        </w:tc>
        <w:tc>
          <w:tcPr>
            <w:tcW w:w="7508" w:type="dxa"/>
            <w:tcBorders>
              <w:top w:val="single" w:color="000000" w:sz="4" w:space="0"/>
              <w:left w:val="nil"/>
              <w:bottom w:val="single" w:color="000000" w:sz="4" w:space="0"/>
              <w:right w:val="single" w:color="000000" w:sz="4" w:space="0"/>
            </w:tcBorders>
            <w:noWrap w:val="0"/>
            <w:vAlign w:val="center"/>
          </w:tcPr>
          <w:p w14:paraId="6F994E70">
            <w:pPr>
              <w:adjustRightInd w:val="0"/>
              <w:snapToGrid w:val="0"/>
              <w:ind w:firstLine="480"/>
              <w:jc w:val="center"/>
              <w:rPr>
                <w:rFonts w:hint="default" w:ascii="宋体" w:eastAsia="宋体"/>
                <w:sz w:val="24"/>
                <w:szCs w:val="24"/>
                <w:lang w:val="en-US" w:eastAsia="zh-CN"/>
              </w:rPr>
            </w:pPr>
            <w:r>
              <w:rPr>
                <w:rFonts w:ascii="宋体" w:hAnsi="宋体"/>
                <w:sz w:val="24"/>
                <w:szCs w:val="24"/>
              </w:rPr>
              <w:t>7</w:t>
            </w:r>
            <w:r>
              <w:rPr>
                <w:rFonts w:hint="eastAsia" w:ascii="宋体" w:hAnsi="宋体"/>
                <w:sz w:val="24"/>
                <w:szCs w:val="24"/>
              </w:rPr>
              <w:t>×</w:t>
            </w:r>
            <w:r>
              <w:rPr>
                <w:rFonts w:ascii="宋体" w:hAnsi="宋体"/>
                <w:sz w:val="24"/>
                <w:szCs w:val="24"/>
              </w:rPr>
              <w:t>24</w:t>
            </w:r>
            <w:r>
              <w:rPr>
                <w:rFonts w:hint="eastAsia" w:ascii="宋体" w:hAnsi="宋体"/>
                <w:sz w:val="24"/>
                <w:szCs w:val="24"/>
              </w:rPr>
              <w:t>小时接受报障，</w:t>
            </w:r>
            <w:r>
              <w:rPr>
                <w:rFonts w:ascii="宋体" w:hAnsi="宋体"/>
                <w:sz w:val="24"/>
                <w:szCs w:val="24"/>
              </w:rPr>
              <w:t>2</w:t>
            </w:r>
            <w:r>
              <w:rPr>
                <w:rFonts w:hint="eastAsia" w:ascii="宋体" w:hAnsi="宋体"/>
                <w:sz w:val="24"/>
                <w:szCs w:val="24"/>
              </w:rPr>
              <w:t>小时内到达现场</w:t>
            </w:r>
            <w:r>
              <w:rPr>
                <w:rFonts w:hint="eastAsia" w:ascii="宋体" w:hAnsi="宋体"/>
                <w:sz w:val="24"/>
                <w:szCs w:val="24"/>
                <w:lang w:eastAsia="zh-CN"/>
              </w:rPr>
              <w:t>，排障解决</w:t>
            </w:r>
            <w:r>
              <w:rPr>
                <w:rFonts w:hint="eastAsia" w:ascii="宋体" w:hAnsi="宋体"/>
                <w:sz w:val="24"/>
                <w:szCs w:val="24"/>
                <w:lang w:val="en-US" w:eastAsia="zh-CN"/>
              </w:rPr>
              <w:t>24小时</w:t>
            </w:r>
          </w:p>
        </w:tc>
      </w:tr>
      <w:tr w14:paraId="13725428">
        <w:tblPrEx>
          <w:tblCellMar>
            <w:top w:w="0" w:type="dxa"/>
            <w:left w:w="108" w:type="dxa"/>
            <w:bottom w:w="0" w:type="dxa"/>
            <w:right w:w="108" w:type="dxa"/>
          </w:tblCellMar>
        </w:tblPrEx>
        <w:trPr>
          <w:cantSplit/>
          <w:trHeight w:val="539" w:hRule="atLeast"/>
          <w:jc w:val="center"/>
        </w:trPr>
        <w:tc>
          <w:tcPr>
            <w:tcW w:w="1831" w:type="dxa"/>
            <w:tcBorders>
              <w:top w:val="single" w:color="000000" w:sz="4" w:space="0"/>
              <w:left w:val="single" w:color="000000" w:sz="4" w:space="0"/>
              <w:bottom w:val="single" w:color="000000" w:sz="4" w:space="0"/>
              <w:right w:val="single" w:color="000000" w:sz="4" w:space="0"/>
            </w:tcBorders>
            <w:noWrap w:val="0"/>
            <w:vAlign w:val="center"/>
          </w:tcPr>
          <w:p w14:paraId="5585F7B9">
            <w:pPr>
              <w:adjustRightInd w:val="0"/>
              <w:snapToGrid w:val="0"/>
              <w:ind w:firstLine="480"/>
              <w:jc w:val="center"/>
              <w:rPr>
                <w:rFonts w:ascii="宋体"/>
                <w:sz w:val="24"/>
                <w:szCs w:val="24"/>
              </w:rPr>
            </w:pPr>
            <w:r>
              <w:rPr>
                <w:rFonts w:ascii="宋体" w:hAnsi="宋体"/>
                <w:sz w:val="24"/>
                <w:szCs w:val="24"/>
              </w:rPr>
              <w:t>B</w:t>
            </w:r>
            <w:r>
              <w:rPr>
                <w:rFonts w:hint="eastAsia" w:ascii="宋体" w:hAnsi="宋体"/>
                <w:sz w:val="24"/>
                <w:szCs w:val="24"/>
              </w:rPr>
              <w:t>级</w:t>
            </w:r>
          </w:p>
        </w:tc>
        <w:tc>
          <w:tcPr>
            <w:tcW w:w="7508" w:type="dxa"/>
            <w:tcBorders>
              <w:top w:val="single" w:color="000000" w:sz="4" w:space="0"/>
              <w:left w:val="nil"/>
              <w:bottom w:val="single" w:color="000000" w:sz="4" w:space="0"/>
              <w:right w:val="single" w:color="000000" w:sz="4" w:space="0"/>
            </w:tcBorders>
            <w:noWrap w:val="0"/>
            <w:vAlign w:val="center"/>
          </w:tcPr>
          <w:p w14:paraId="59F0CF0C">
            <w:pPr>
              <w:adjustRightInd w:val="0"/>
              <w:snapToGrid w:val="0"/>
              <w:ind w:firstLine="480"/>
              <w:jc w:val="center"/>
              <w:rPr>
                <w:rFonts w:hint="eastAsia" w:ascii="宋体" w:eastAsia="宋体"/>
                <w:sz w:val="24"/>
                <w:szCs w:val="24"/>
                <w:lang w:eastAsia="zh-CN"/>
              </w:rPr>
            </w:pPr>
            <w:r>
              <w:rPr>
                <w:rFonts w:ascii="宋体" w:hAnsi="宋体"/>
                <w:sz w:val="24"/>
                <w:szCs w:val="24"/>
              </w:rPr>
              <w:t>7</w:t>
            </w:r>
            <w:r>
              <w:rPr>
                <w:rFonts w:hint="eastAsia" w:ascii="宋体" w:hAnsi="宋体"/>
                <w:sz w:val="24"/>
                <w:szCs w:val="24"/>
              </w:rPr>
              <w:t>×</w:t>
            </w:r>
            <w:r>
              <w:rPr>
                <w:rFonts w:hint="eastAsia" w:ascii="宋体" w:hAnsi="宋体"/>
                <w:sz w:val="24"/>
                <w:szCs w:val="24"/>
                <w:lang w:val="en-US" w:eastAsia="zh-CN"/>
              </w:rPr>
              <w:t>24</w:t>
            </w:r>
            <w:r>
              <w:rPr>
                <w:rFonts w:hint="eastAsia" w:ascii="宋体" w:hAnsi="宋体"/>
                <w:sz w:val="24"/>
                <w:szCs w:val="24"/>
              </w:rPr>
              <w:t>小时接受报障，</w:t>
            </w:r>
            <w:r>
              <w:rPr>
                <w:rFonts w:ascii="宋体" w:hAnsi="宋体"/>
                <w:sz w:val="24"/>
                <w:szCs w:val="24"/>
              </w:rPr>
              <w:t>4</w:t>
            </w:r>
            <w:r>
              <w:rPr>
                <w:rFonts w:hint="eastAsia" w:ascii="宋体" w:hAnsi="宋体"/>
                <w:sz w:val="24"/>
                <w:szCs w:val="24"/>
              </w:rPr>
              <w:t>小时内到达现场</w:t>
            </w:r>
            <w:r>
              <w:rPr>
                <w:rFonts w:hint="eastAsia" w:ascii="宋体" w:hAnsi="宋体"/>
                <w:sz w:val="24"/>
                <w:szCs w:val="24"/>
                <w:lang w:eastAsia="zh-CN"/>
              </w:rPr>
              <w:t>，排障解决</w:t>
            </w:r>
            <w:r>
              <w:rPr>
                <w:rFonts w:hint="eastAsia" w:ascii="宋体" w:hAnsi="宋体"/>
                <w:sz w:val="24"/>
                <w:szCs w:val="24"/>
                <w:lang w:val="en-US" w:eastAsia="zh-CN"/>
              </w:rPr>
              <w:t>24小时</w:t>
            </w:r>
          </w:p>
        </w:tc>
      </w:tr>
      <w:tr w14:paraId="25E2EB65">
        <w:tblPrEx>
          <w:tblCellMar>
            <w:top w:w="0" w:type="dxa"/>
            <w:left w:w="108" w:type="dxa"/>
            <w:bottom w:w="0" w:type="dxa"/>
            <w:right w:w="108" w:type="dxa"/>
          </w:tblCellMar>
        </w:tblPrEx>
        <w:trPr>
          <w:cantSplit/>
          <w:trHeight w:val="539" w:hRule="atLeast"/>
          <w:jc w:val="center"/>
        </w:trPr>
        <w:tc>
          <w:tcPr>
            <w:tcW w:w="1831" w:type="dxa"/>
            <w:tcBorders>
              <w:top w:val="single" w:color="000000" w:sz="4" w:space="0"/>
              <w:left w:val="single" w:color="000000" w:sz="4" w:space="0"/>
              <w:bottom w:val="single" w:color="000000" w:sz="4" w:space="0"/>
              <w:right w:val="single" w:color="000000" w:sz="4" w:space="0"/>
            </w:tcBorders>
            <w:noWrap w:val="0"/>
            <w:vAlign w:val="center"/>
          </w:tcPr>
          <w:p w14:paraId="6B672FCC">
            <w:pPr>
              <w:adjustRightInd w:val="0"/>
              <w:snapToGrid w:val="0"/>
              <w:ind w:firstLine="480"/>
              <w:jc w:val="center"/>
              <w:rPr>
                <w:rFonts w:ascii="宋体"/>
                <w:sz w:val="24"/>
                <w:szCs w:val="24"/>
              </w:rPr>
            </w:pPr>
            <w:r>
              <w:rPr>
                <w:rFonts w:ascii="宋体" w:hAnsi="宋体"/>
                <w:sz w:val="24"/>
                <w:szCs w:val="24"/>
              </w:rPr>
              <w:t>C</w:t>
            </w:r>
            <w:r>
              <w:rPr>
                <w:rFonts w:hint="eastAsia" w:ascii="宋体" w:hAnsi="宋体"/>
                <w:sz w:val="24"/>
                <w:szCs w:val="24"/>
              </w:rPr>
              <w:t>级</w:t>
            </w:r>
          </w:p>
        </w:tc>
        <w:tc>
          <w:tcPr>
            <w:tcW w:w="7508" w:type="dxa"/>
            <w:tcBorders>
              <w:top w:val="single" w:color="000000" w:sz="4" w:space="0"/>
              <w:left w:val="nil"/>
              <w:bottom w:val="single" w:color="000000" w:sz="4" w:space="0"/>
              <w:right w:val="single" w:color="000000" w:sz="4" w:space="0"/>
            </w:tcBorders>
            <w:noWrap w:val="0"/>
            <w:vAlign w:val="center"/>
          </w:tcPr>
          <w:p w14:paraId="23F40295">
            <w:pPr>
              <w:adjustRightInd w:val="0"/>
              <w:snapToGrid w:val="0"/>
              <w:ind w:firstLine="480"/>
              <w:jc w:val="center"/>
              <w:rPr>
                <w:rFonts w:asci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8</w:t>
            </w:r>
            <w:r>
              <w:rPr>
                <w:rFonts w:hint="eastAsia" w:ascii="宋体" w:hAnsi="宋体"/>
                <w:sz w:val="24"/>
                <w:szCs w:val="24"/>
              </w:rPr>
              <w:t>小时接受报障，</w:t>
            </w:r>
            <w:r>
              <w:rPr>
                <w:rFonts w:hint="eastAsia" w:ascii="宋体" w:hAnsi="宋体"/>
                <w:sz w:val="24"/>
                <w:szCs w:val="24"/>
                <w:lang w:val="en-US" w:eastAsia="zh-CN"/>
              </w:rPr>
              <w:t>12小时</w:t>
            </w:r>
            <w:r>
              <w:rPr>
                <w:rFonts w:hint="eastAsia" w:ascii="宋体" w:hAnsi="宋体"/>
                <w:sz w:val="24"/>
                <w:szCs w:val="24"/>
              </w:rPr>
              <w:t>内到达现场</w:t>
            </w:r>
          </w:p>
        </w:tc>
      </w:tr>
    </w:tbl>
    <w:p w14:paraId="73A0BDCD">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32" w:firstLineChars="200"/>
        <w:jc w:val="left"/>
        <w:textAlignment w:val="auto"/>
        <w:rPr>
          <w:spacing w:val="-12"/>
          <w:sz w:val="24"/>
          <w:u w:val="none"/>
        </w:rPr>
      </w:pPr>
    </w:p>
    <w:p w14:paraId="782E23A2">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32" w:firstLineChars="200"/>
        <w:jc w:val="left"/>
        <w:textAlignment w:val="auto"/>
        <w:rPr>
          <w:rFonts w:hint="default" w:eastAsia="宋体"/>
          <w:spacing w:val="-12"/>
          <w:sz w:val="24"/>
          <w:u w:val="none"/>
          <w:lang w:val="en-US" w:eastAsia="zh-CN"/>
        </w:rPr>
      </w:pPr>
      <w:r>
        <w:rPr>
          <w:rFonts w:hint="eastAsia"/>
          <w:spacing w:val="-12"/>
          <w:sz w:val="24"/>
          <w:u w:val="none"/>
          <w:lang w:val="en-US" w:eastAsia="zh-CN"/>
        </w:rPr>
        <w:t>11.院方将和服务单位签订服务协议，按照协议对服务单位履约情况进行考核，对不符合要求开展维护保养的服务单位有权单方面终止服务协议，相关责任损失由服务单位承担。</w:t>
      </w:r>
    </w:p>
    <w:p w14:paraId="1D7F6E7A">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pPr>
      <w:r>
        <w:rPr>
          <w:rFonts w:hint="eastAsia"/>
          <w:lang w:val="en-US" w:eastAsia="zh-CN"/>
        </w:rPr>
        <w:t>（二）具体</w:t>
      </w:r>
      <w:r>
        <w:t>维护保养质量保证措施</w:t>
      </w:r>
    </w:p>
    <w:p w14:paraId="74248296">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pPr>
      <w:r>
        <w:t>1</w:t>
      </w:r>
      <w:r>
        <w:rPr>
          <w:rFonts w:hint="eastAsia"/>
          <w:lang w:eastAsia="zh-CN"/>
        </w:rPr>
        <w:t>.</w:t>
      </w:r>
      <w:r>
        <w:t>维护保养工作计划</w:t>
      </w:r>
    </w:p>
    <w:p w14:paraId="2B14D7D0">
      <w:pPr>
        <w:pStyle w:val="3"/>
        <w:keepNext w:val="0"/>
        <w:keepLines w:val="0"/>
        <w:pageBreakBefore w:val="0"/>
        <w:widowControl w:val="0"/>
        <w:tabs>
          <w:tab w:val="left" w:pos="220"/>
        </w:tabs>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pPr>
      <w:r>
        <w:rPr>
          <w:rFonts w:hint="eastAsia"/>
          <w:lang w:eastAsia="zh-CN"/>
        </w:rPr>
        <w:t>服务单位</w:t>
      </w:r>
      <w:r>
        <w:t>应根据项目实际情况，编制维护工作计划，落实维护保养工作。工作计划经</w:t>
      </w:r>
      <w:r>
        <w:rPr>
          <w:rFonts w:hint="eastAsia"/>
          <w:lang w:eastAsia="zh-CN"/>
        </w:rPr>
        <w:t>院方</w:t>
      </w:r>
      <w:r>
        <w:t>审核批准后应严格执行。并作为年度考核的主要依据。</w:t>
      </w:r>
    </w:p>
    <w:p w14:paraId="317FDAB6">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color w:val="000000"/>
        </w:rPr>
      </w:pPr>
      <w:r>
        <w:rPr>
          <w:color w:val="000000"/>
        </w:rPr>
        <w:t>2</w:t>
      </w:r>
      <w:r>
        <w:rPr>
          <w:rFonts w:hint="eastAsia"/>
          <w:color w:val="000000"/>
          <w:lang w:eastAsia="zh-CN"/>
        </w:rPr>
        <w:t>.</w:t>
      </w:r>
      <w:r>
        <w:rPr>
          <w:color w:val="000000"/>
        </w:rPr>
        <w:t>维护保养前检查</w:t>
      </w:r>
    </w:p>
    <w:p w14:paraId="464B681F">
      <w:pPr>
        <w:pStyle w:val="10"/>
        <w:keepNext w:val="0"/>
        <w:keepLines w:val="0"/>
        <w:pageBreakBefore w:val="0"/>
        <w:widowControl w:val="0"/>
        <w:numPr>
          <w:ilvl w:val="0"/>
          <w:numId w:val="0"/>
        </w:numPr>
        <w:tabs>
          <w:tab w:val="left" w:pos="220"/>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both"/>
        <w:textAlignment w:val="auto"/>
        <w:rPr>
          <w:rFonts w:hint="default"/>
          <w:sz w:val="24"/>
          <w:lang w:val="en-US" w:eastAsia="zh-CN"/>
        </w:rPr>
      </w:pPr>
      <w:r>
        <w:rPr>
          <w:rFonts w:hint="eastAsia"/>
          <w:spacing w:val="-3"/>
          <w:sz w:val="24"/>
          <w:lang w:val="en-US" w:eastAsia="zh-CN"/>
        </w:rPr>
        <w:t>(1)</w:t>
      </w:r>
      <w:r>
        <w:rPr>
          <w:rFonts w:hint="eastAsia"/>
          <w:sz w:val="24"/>
          <w:lang w:eastAsia="zh-CN"/>
        </w:rPr>
        <w:t>服务单位</w:t>
      </w:r>
      <w:r>
        <w:rPr>
          <w:sz w:val="24"/>
        </w:rPr>
        <w:t>开展维护保养工作前，应对项目</w:t>
      </w:r>
      <w:r>
        <w:rPr>
          <w:rFonts w:hint="eastAsia"/>
          <w:sz w:val="24"/>
          <w:lang w:val="en-US" w:eastAsia="zh-CN"/>
        </w:rPr>
        <w:t>7个工作日内</w:t>
      </w:r>
      <w:r>
        <w:rPr>
          <w:sz w:val="24"/>
        </w:rPr>
        <w:t>进行一次全面检查</w:t>
      </w:r>
      <w:r>
        <w:rPr>
          <w:rFonts w:hint="eastAsia"/>
          <w:sz w:val="24"/>
          <w:lang w:eastAsia="zh-CN"/>
        </w:rPr>
        <w:t>，</w:t>
      </w:r>
      <w:r>
        <w:rPr>
          <w:rFonts w:hint="eastAsia"/>
          <w:sz w:val="24"/>
          <w:lang w:val="en-US" w:eastAsia="zh-CN"/>
        </w:rPr>
        <w:t>并提供交底报告</w:t>
      </w:r>
      <w:r>
        <w:rPr>
          <w:sz w:val="24"/>
        </w:rPr>
        <w:t>。</w:t>
      </w:r>
      <w:r>
        <w:rPr>
          <w:rFonts w:hint="eastAsia"/>
          <w:sz w:val="24"/>
          <w:lang w:val="en-US" w:eastAsia="zh-CN"/>
        </w:rPr>
        <w:t>对维保检查中发现的问题报告给院方，并积极组织维护修缮等整改工作。</w:t>
      </w:r>
    </w:p>
    <w:p w14:paraId="04E724EF">
      <w:pPr>
        <w:pStyle w:val="10"/>
        <w:keepNext w:val="0"/>
        <w:keepLines w:val="0"/>
        <w:pageBreakBefore w:val="0"/>
        <w:widowControl w:val="0"/>
        <w:numPr>
          <w:ilvl w:val="0"/>
          <w:numId w:val="0"/>
        </w:numPr>
        <w:tabs>
          <w:tab w:val="left" w:pos="220"/>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both"/>
        <w:textAlignment w:val="auto"/>
        <w:rPr>
          <w:sz w:val="24"/>
        </w:rPr>
      </w:pPr>
      <w:r>
        <w:rPr>
          <w:rFonts w:hint="eastAsia"/>
          <w:spacing w:val="-3"/>
          <w:sz w:val="24"/>
          <w:lang w:val="en-US" w:eastAsia="zh-CN"/>
        </w:rPr>
        <w:t>(2)</w:t>
      </w:r>
      <w:r>
        <w:rPr>
          <w:sz w:val="24"/>
        </w:rPr>
        <w:t>维保检查中发现是</w:t>
      </w:r>
      <w:r>
        <w:rPr>
          <w:rFonts w:hint="eastAsia"/>
          <w:sz w:val="24"/>
          <w:lang w:eastAsia="zh-CN"/>
        </w:rPr>
        <w:t>院方</w:t>
      </w:r>
      <w:r>
        <w:rPr>
          <w:spacing w:val="-1"/>
          <w:sz w:val="24"/>
        </w:rPr>
        <w:t>早期设备设施故障等消防安全隐患问题</w:t>
      </w:r>
      <w:r>
        <w:rPr>
          <w:rFonts w:hint="eastAsia"/>
          <w:spacing w:val="-1"/>
          <w:sz w:val="24"/>
          <w:lang w:eastAsia="zh-CN"/>
        </w:rPr>
        <w:t>，</w:t>
      </w:r>
      <w:r>
        <w:rPr>
          <w:spacing w:val="-1"/>
          <w:sz w:val="24"/>
        </w:rPr>
        <w:t>需要整改的</w:t>
      </w:r>
      <w:r>
        <w:rPr>
          <w:rFonts w:hint="eastAsia"/>
          <w:spacing w:val="-1"/>
          <w:sz w:val="24"/>
          <w:lang w:eastAsia="zh-CN"/>
        </w:rPr>
        <w:t>院方</w:t>
      </w:r>
      <w:r>
        <w:rPr>
          <w:rFonts w:hint="eastAsia"/>
          <w:spacing w:val="-1"/>
          <w:sz w:val="24"/>
          <w:lang w:val="en-US" w:eastAsia="zh-CN"/>
        </w:rPr>
        <w:t>负责相关</w:t>
      </w:r>
      <w:r>
        <w:rPr>
          <w:spacing w:val="-1"/>
          <w:sz w:val="24"/>
        </w:rPr>
        <w:t>费用。整改所需材料</w:t>
      </w:r>
      <w:r>
        <w:rPr>
          <w:rFonts w:hint="eastAsia"/>
          <w:spacing w:val="-1"/>
          <w:sz w:val="24"/>
          <w:lang w:val="en-US" w:eastAsia="zh-CN"/>
        </w:rPr>
        <w:t>如</w:t>
      </w:r>
      <w:r>
        <w:rPr>
          <w:rFonts w:hint="eastAsia"/>
          <w:spacing w:val="-1"/>
          <w:sz w:val="24"/>
          <w:lang w:eastAsia="zh-CN"/>
        </w:rPr>
        <w:t>院方</w:t>
      </w:r>
      <w:r>
        <w:rPr>
          <w:spacing w:val="-1"/>
          <w:sz w:val="24"/>
        </w:rPr>
        <w:t>购买，</w:t>
      </w:r>
      <w:r>
        <w:rPr>
          <w:rFonts w:hint="eastAsia"/>
          <w:spacing w:val="-1"/>
          <w:sz w:val="24"/>
          <w:lang w:eastAsia="zh-CN"/>
        </w:rPr>
        <w:t>服务单位</w:t>
      </w:r>
      <w:r>
        <w:rPr>
          <w:spacing w:val="-1"/>
          <w:sz w:val="24"/>
        </w:rPr>
        <w:t>应有义务就设备的技术参数、性能要求等提供技术指导</w:t>
      </w:r>
      <w:r>
        <w:rPr>
          <w:spacing w:val="-6"/>
          <w:sz w:val="24"/>
        </w:rPr>
        <w:t>。</w:t>
      </w:r>
    </w:p>
    <w:p w14:paraId="4CC07FB5">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pPr>
      <w:r>
        <w:t>3</w:t>
      </w:r>
      <w:r>
        <w:rPr>
          <w:rFonts w:hint="eastAsia"/>
          <w:lang w:eastAsia="zh-CN"/>
        </w:rPr>
        <w:t>.</w:t>
      </w:r>
      <w:r>
        <w:t>维护保养工作实施</w:t>
      </w:r>
    </w:p>
    <w:p w14:paraId="70427EDB">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sz w:val="24"/>
        </w:rPr>
      </w:pPr>
      <w:r>
        <w:rPr>
          <w:rFonts w:hint="eastAsia"/>
          <w:spacing w:val="-3"/>
          <w:sz w:val="24"/>
          <w:lang w:val="en-US" w:eastAsia="zh-CN"/>
        </w:rPr>
        <w:t>(1)</w:t>
      </w:r>
      <w:r>
        <w:rPr>
          <w:rFonts w:hint="eastAsia"/>
          <w:spacing w:val="-3"/>
          <w:sz w:val="24"/>
          <w:lang w:eastAsia="zh-CN"/>
        </w:rPr>
        <w:t>按计划</w:t>
      </w:r>
      <w:r>
        <w:rPr>
          <w:sz w:val="24"/>
        </w:rPr>
        <w:t>开展维护保养工作：</w:t>
      </w:r>
    </w:p>
    <w:p w14:paraId="7079AB28">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sz w:val="24"/>
        </w:rPr>
      </w:pPr>
      <w:r>
        <w:rPr>
          <w:rFonts w:hint="eastAsia"/>
          <w:spacing w:val="-3"/>
          <w:sz w:val="24"/>
          <w:lang w:val="en-US" w:eastAsia="zh-CN"/>
        </w:rPr>
        <w:t>(2)服务单位</w:t>
      </w:r>
      <w:r>
        <w:rPr>
          <w:spacing w:val="-3"/>
          <w:sz w:val="24"/>
        </w:rPr>
        <w:t>在日常巡查和维护保养过程中发现设施设备故障</w:t>
      </w:r>
      <w:r>
        <w:rPr>
          <w:rFonts w:hint="eastAsia"/>
          <w:spacing w:val="-3"/>
          <w:sz w:val="24"/>
          <w:lang w:val="en-US" w:eastAsia="zh-CN"/>
        </w:rPr>
        <w:t>应第一时间进行处置</w:t>
      </w:r>
      <w:r>
        <w:rPr>
          <w:spacing w:val="-3"/>
          <w:sz w:val="24"/>
        </w:rPr>
        <w:t>，不能立即处</w:t>
      </w:r>
      <w:r>
        <w:rPr>
          <w:rFonts w:hint="eastAsia"/>
          <w:spacing w:val="-3"/>
          <w:sz w:val="24"/>
          <w:lang w:val="en-US" w:eastAsia="zh-CN"/>
        </w:rPr>
        <w:t>置</w:t>
      </w:r>
      <w:r>
        <w:rPr>
          <w:spacing w:val="-3"/>
          <w:sz w:val="24"/>
        </w:rPr>
        <w:t>的，</w:t>
      </w:r>
      <w:r>
        <w:rPr>
          <w:rFonts w:hint="eastAsia"/>
          <w:spacing w:val="-3"/>
          <w:sz w:val="24"/>
          <w:lang w:val="en-US" w:eastAsia="zh-CN"/>
        </w:rPr>
        <w:t>应制定相关安全保障措施并报告院</w:t>
      </w:r>
      <w:r>
        <w:rPr>
          <w:spacing w:val="-3"/>
          <w:sz w:val="24"/>
        </w:rPr>
        <w:t>方</w:t>
      </w:r>
      <w:r>
        <w:rPr>
          <w:rFonts w:hint="eastAsia"/>
          <w:spacing w:val="-3"/>
          <w:sz w:val="24"/>
          <w:lang w:val="en-US" w:eastAsia="zh-CN"/>
        </w:rPr>
        <w:t>，确保院方时刻的消防安全。</w:t>
      </w:r>
    </w:p>
    <w:p w14:paraId="28FD3714">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sz w:val="24"/>
        </w:rPr>
      </w:pPr>
      <w:r>
        <w:rPr>
          <w:rFonts w:hint="eastAsia"/>
          <w:spacing w:val="-3"/>
          <w:sz w:val="24"/>
          <w:lang w:val="en-US" w:eastAsia="zh-CN"/>
        </w:rPr>
        <w:t>(3)</w:t>
      </w:r>
      <w:r>
        <w:rPr>
          <w:sz w:val="24"/>
        </w:rPr>
        <w:t>本合同的维护保养工作内容包括：</w:t>
      </w:r>
    </w:p>
    <w:p w14:paraId="0889CF5C">
      <w:pPr>
        <w:pStyle w:val="10"/>
        <w:keepNext w:val="0"/>
        <w:keepLines w:val="0"/>
        <w:pageBreakBefore w:val="0"/>
        <w:widowControl w:val="0"/>
        <w:numPr>
          <w:ilvl w:val="0"/>
          <w:numId w:val="0"/>
        </w:numPr>
        <w:tabs>
          <w:tab w:val="left" w:pos="156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left"/>
        <w:textAlignment w:val="auto"/>
        <w:rPr>
          <w:color w:val="000000"/>
          <w:sz w:val="24"/>
        </w:rPr>
      </w:pPr>
      <w:r>
        <w:rPr>
          <w:rFonts w:hint="eastAsia"/>
          <w:sz w:val="24"/>
          <w:lang w:val="en-US" w:eastAsia="zh-CN"/>
        </w:rPr>
        <w:t>1)</w:t>
      </w:r>
      <w:r>
        <w:rPr>
          <w:sz w:val="24"/>
        </w:rPr>
        <w:t>消防维护保养前</w:t>
      </w:r>
      <w:r>
        <w:rPr>
          <w:rFonts w:hint="eastAsia"/>
          <w:sz w:val="24"/>
          <w:lang w:eastAsia="zh-CN"/>
        </w:rPr>
        <w:t>，</w:t>
      </w:r>
      <w:r>
        <w:rPr>
          <w:rFonts w:hint="eastAsia"/>
          <w:sz w:val="24"/>
          <w:lang w:val="en-US" w:eastAsia="zh-CN"/>
        </w:rPr>
        <w:t>开展1次</w:t>
      </w:r>
      <w:r>
        <w:rPr>
          <w:sz w:val="24"/>
        </w:rPr>
        <w:t>消防系统全面排查</w:t>
      </w:r>
      <w:r>
        <w:rPr>
          <w:rFonts w:hint="eastAsia"/>
          <w:sz w:val="24"/>
          <w:lang w:eastAsia="zh-CN"/>
        </w:rPr>
        <w:t>，</w:t>
      </w:r>
      <w:r>
        <w:rPr>
          <w:rFonts w:hint="eastAsia"/>
          <w:sz w:val="24"/>
          <w:lang w:val="en-US" w:eastAsia="zh-CN"/>
        </w:rPr>
        <w:t>并出具系统排查报告，对存在的问题立即</w:t>
      </w:r>
      <w:r>
        <w:rPr>
          <w:rFonts w:hint="eastAsia"/>
          <w:color w:val="000000"/>
          <w:sz w:val="24"/>
          <w:lang w:val="en-US" w:eastAsia="zh-CN"/>
        </w:rPr>
        <w:t>实施整改</w:t>
      </w:r>
      <w:r>
        <w:rPr>
          <w:color w:val="000000"/>
          <w:spacing w:val="-10"/>
          <w:sz w:val="24"/>
        </w:rPr>
        <w:t>。</w:t>
      </w:r>
    </w:p>
    <w:p w14:paraId="344E55C8">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0" w:firstLineChars="200"/>
        <w:textAlignment w:val="auto"/>
        <w:rPr>
          <w:color w:val="000000"/>
          <w:sz w:val="2"/>
        </w:rPr>
      </w:pPr>
    </w:p>
    <w:p w14:paraId="45C0C9BF">
      <w:pPr>
        <w:pStyle w:val="10"/>
        <w:keepNext w:val="0"/>
        <w:keepLines w:val="0"/>
        <w:pageBreakBefore w:val="0"/>
        <w:widowControl w:val="0"/>
        <w:numPr>
          <w:ilvl w:val="0"/>
          <w:numId w:val="0"/>
        </w:numPr>
        <w:tabs>
          <w:tab w:val="left" w:pos="156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both"/>
        <w:textAlignment w:val="auto"/>
        <w:rPr>
          <w:color w:val="000000"/>
          <w:sz w:val="24"/>
        </w:rPr>
      </w:pPr>
      <w:r>
        <w:rPr>
          <w:rFonts w:hint="eastAsia"/>
          <w:color w:val="000000"/>
          <w:sz w:val="24"/>
          <w:lang w:val="en-US" w:eastAsia="zh-CN"/>
        </w:rPr>
        <w:t>2)</w:t>
      </w:r>
      <w:r>
        <w:rPr>
          <w:rFonts w:hint="eastAsia"/>
          <w:color w:val="000000"/>
          <w:sz w:val="24"/>
        </w:rPr>
        <w:t>按医院工作安排对</w:t>
      </w:r>
      <w:r>
        <w:rPr>
          <w:rFonts w:hint="eastAsia"/>
          <w:color w:val="000000"/>
          <w:sz w:val="24"/>
          <w:lang w:eastAsia="zh-CN"/>
        </w:rPr>
        <w:t>院方</w:t>
      </w:r>
      <w:r>
        <w:rPr>
          <w:rFonts w:hint="eastAsia"/>
          <w:color w:val="000000"/>
          <w:sz w:val="24"/>
        </w:rPr>
        <w:t>消防值班人员、消防设施操作人员、医院员工进行消防技能培训</w:t>
      </w:r>
      <w:r>
        <w:rPr>
          <w:rFonts w:hint="eastAsia"/>
          <w:color w:val="000000"/>
          <w:sz w:val="24"/>
          <w:lang w:eastAsia="zh-CN"/>
        </w:rPr>
        <w:t>，</w:t>
      </w:r>
      <w:r>
        <w:rPr>
          <w:rFonts w:hint="eastAsia"/>
          <w:color w:val="000000"/>
          <w:sz w:val="24"/>
          <w:lang w:val="en-US" w:eastAsia="zh-CN"/>
        </w:rPr>
        <w:t>并建立人员培训档案</w:t>
      </w:r>
      <w:r>
        <w:rPr>
          <w:color w:val="000000"/>
          <w:sz w:val="24"/>
        </w:rPr>
        <w:t>。</w:t>
      </w:r>
    </w:p>
    <w:p w14:paraId="4FF9C2D4">
      <w:pPr>
        <w:pStyle w:val="10"/>
        <w:keepNext w:val="0"/>
        <w:keepLines w:val="0"/>
        <w:pageBreakBefore w:val="0"/>
        <w:widowControl w:val="0"/>
        <w:numPr>
          <w:ilvl w:val="0"/>
          <w:numId w:val="0"/>
        </w:numPr>
        <w:tabs>
          <w:tab w:val="left" w:pos="156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both"/>
        <w:textAlignment w:val="auto"/>
        <w:rPr>
          <w:color w:val="000000"/>
          <w:spacing w:val="-10"/>
          <w:sz w:val="24"/>
        </w:rPr>
      </w:pPr>
      <w:r>
        <w:rPr>
          <w:rFonts w:hint="eastAsia"/>
          <w:color w:val="000000"/>
          <w:sz w:val="24"/>
          <w:lang w:val="en-US" w:eastAsia="zh-CN"/>
        </w:rPr>
        <w:t>3)每季度1次对</w:t>
      </w:r>
      <w:r>
        <w:rPr>
          <w:rFonts w:hint="eastAsia"/>
          <w:color w:val="000000"/>
          <w:sz w:val="24"/>
          <w:lang w:eastAsia="zh-CN"/>
        </w:rPr>
        <w:t>院方</w:t>
      </w:r>
      <w:r>
        <w:rPr>
          <w:color w:val="000000"/>
          <w:sz w:val="24"/>
        </w:rPr>
        <w:t>的消防安全管理类人员进行消防安全知识培训</w:t>
      </w:r>
      <w:r>
        <w:rPr>
          <w:color w:val="000000"/>
          <w:spacing w:val="-10"/>
          <w:sz w:val="24"/>
        </w:rPr>
        <w:t>。</w:t>
      </w:r>
    </w:p>
    <w:p w14:paraId="75AC138B">
      <w:pPr>
        <w:pStyle w:val="10"/>
        <w:keepNext w:val="0"/>
        <w:keepLines w:val="0"/>
        <w:pageBreakBefore w:val="0"/>
        <w:widowControl w:val="0"/>
        <w:numPr>
          <w:ilvl w:val="0"/>
          <w:numId w:val="0"/>
        </w:numPr>
        <w:tabs>
          <w:tab w:val="left" w:pos="1560"/>
        </w:tabs>
        <w:kinsoku/>
        <w:wordWrap/>
        <w:overflowPunct/>
        <w:topLinePunct w:val="0"/>
        <w:autoSpaceDE w:val="0"/>
        <w:autoSpaceDN w:val="0"/>
        <w:bidi w:val="0"/>
        <w:adjustRightInd w:val="0"/>
        <w:snapToGrid w:val="0"/>
        <w:spacing w:before="0" w:after="0" w:line="360" w:lineRule="auto"/>
        <w:ind w:left="0" w:leftChars="0" w:right="0" w:rightChars="0" w:firstLine="440" w:firstLineChars="200"/>
        <w:jc w:val="both"/>
        <w:textAlignment w:val="auto"/>
        <w:rPr>
          <w:rFonts w:hint="default" w:eastAsia="宋体"/>
          <w:spacing w:val="-10"/>
          <w:sz w:val="24"/>
          <w:lang w:val="en-US" w:eastAsia="zh-CN"/>
        </w:rPr>
      </w:pPr>
      <w:r>
        <w:rPr>
          <w:rFonts w:hint="eastAsia"/>
          <w:color w:val="000000"/>
          <w:spacing w:val="-10"/>
          <w:sz w:val="24"/>
          <w:lang w:val="en-US" w:eastAsia="zh-CN"/>
        </w:rPr>
        <w:t>4）根据医院工作安排，派遣人员参与医院大型消防安全综合实战演练。制定演练方案，做好演练准备，根据演练需要，提供指导专家、参演专业队</w:t>
      </w:r>
      <w:r>
        <w:rPr>
          <w:rFonts w:hint="eastAsia"/>
          <w:spacing w:val="-10"/>
          <w:sz w:val="24"/>
          <w:lang w:val="en-US" w:eastAsia="zh-CN"/>
        </w:rPr>
        <w:t>伍、所需器材、宣传队伍及报告总结，完成演练存在问题整改。</w:t>
      </w:r>
    </w:p>
    <w:p w14:paraId="4EFDD11B">
      <w:pPr>
        <w:pStyle w:val="10"/>
        <w:keepNext w:val="0"/>
        <w:keepLines w:val="0"/>
        <w:pageBreakBefore w:val="0"/>
        <w:widowControl w:val="0"/>
        <w:numPr>
          <w:ilvl w:val="0"/>
          <w:numId w:val="0"/>
        </w:numPr>
        <w:tabs>
          <w:tab w:val="left" w:pos="1565"/>
          <w:tab w:val="left" w:pos="880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both"/>
        <w:textAlignment w:val="auto"/>
        <w:rPr>
          <w:sz w:val="24"/>
        </w:rPr>
      </w:pPr>
      <w:r>
        <w:rPr>
          <w:rFonts w:hint="eastAsia"/>
          <w:sz w:val="24"/>
          <w:lang w:val="en-US" w:eastAsia="zh-CN"/>
        </w:rPr>
        <w:t>5)</w:t>
      </w:r>
      <w:r>
        <w:rPr>
          <w:sz w:val="24"/>
        </w:rPr>
        <w:t>按照维护保养工作计划，定期进行维护保养工作，严格按照《建筑消防设施的维护管理》（GB25201）</w:t>
      </w:r>
      <w:r>
        <w:rPr>
          <w:spacing w:val="-3"/>
          <w:sz w:val="24"/>
        </w:rPr>
        <w:t>、《建筑消防设施的维护技术规范》</w:t>
      </w:r>
      <w:r>
        <w:rPr>
          <w:sz w:val="24"/>
        </w:rPr>
        <w:t>（DB52/T1152-2016）</w:t>
      </w:r>
      <w:r>
        <w:rPr>
          <w:spacing w:val="-3"/>
          <w:sz w:val="24"/>
        </w:rPr>
        <w:t>等规范、发现问题能当场改正的立即改正。发现消防安全隐患的，应按照第</w:t>
      </w:r>
      <w:r>
        <w:rPr>
          <w:rFonts w:hint="eastAsia"/>
          <w:spacing w:val="-3"/>
          <w:sz w:val="24"/>
          <w:lang w:eastAsia="zh-CN"/>
        </w:rPr>
        <w:t>八</w:t>
      </w:r>
      <w:r>
        <w:rPr>
          <w:spacing w:val="-4"/>
          <w:sz w:val="24"/>
        </w:rPr>
        <w:t>条</w:t>
      </w:r>
      <w:r>
        <w:rPr>
          <w:rFonts w:hint="eastAsia"/>
          <w:spacing w:val="-4"/>
          <w:sz w:val="24"/>
          <w:lang w:eastAsia="zh-CN"/>
        </w:rPr>
        <w:t>第</w:t>
      </w:r>
      <w:r>
        <w:rPr>
          <w:rFonts w:hint="eastAsia"/>
          <w:spacing w:val="-4"/>
          <w:sz w:val="24"/>
          <w:lang w:val="en-US" w:eastAsia="zh-CN"/>
        </w:rPr>
        <w:t>4项</w:t>
      </w:r>
      <w:r>
        <w:rPr>
          <w:rFonts w:hint="eastAsia"/>
          <w:spacing w:val="-4"/>
          <w:sz w:val="24"/>
          <w:lang w:eastAsia="zh-CN"/>
        </w:rPr>
        <w:t>“</w:t>
      </w:r>
      <w:r>
        <w:rPr>
          <w:sz w:val="24"/>
        </w:rPr>
        <w:t>建筑消防设施消防安全隐患整改</w:t>
      </w:r>
      <w:r>
        <w:rPr>
          <w:rFonts w:hint="eastAsia"/>
          <w:sz w:val="24"/>
          <w:lang w:eastAsia="zh-CN"/>
        </w:rPr>
        <w:t>”</w:t>
      </w:r>
      <w:r>
        <w:rPr>
          <w:spacing w:val="-8"/>
          <w:sz w:val="24"/>
        </w:rPr>
        <w:t>执行。</w:t>
      </w:r>
    </w:p>
    <w:p w14:paraId="68B4832F">
      <w:pPr>
        <w:pStyle w:val="3"/>
        <w:keepNext w:val="0"/>
        <w:keepLines w:val="0"/>
        <w:pageBreakBefore w:val="0"/>
        <w:widowControl w:val="0"/>
        <w:tabs>
          <w:tab w:val="left" w:pos="9680"/>
        </w:tabs>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auto"/>
        <w:rPr>
          <w:rFonts w:hint="eastAsia" w:ascii="新宋体" w:hAnsi="新宋体" w:eastAsia="新宋体"/>
        </w:rPr>
      </w:pPr>
      <w:r>
        <w:rPr>
          <w:rFonts w:hint="eastAsia" w:ascii="新宋体" w:hAnsi="新宋体" w:eastAsia="新宋体"/>
        </w:rPr>
        <w:t>①</w:t>
      </w:r>
      <w:r>
        <w:rPr>
          <w:rFonts w:hint="eastAsia" w:ascii="新宋体" w:hAnsi="新宋体" w:eastAsia="新宋体"/>
          <w:lang w:val="en-US" w:eastAsia="zh-CN"/>
        </w:rPr>
        <w:t>项目服务期限内，</w:t>
      </w:r>
      <w:r>
        <w:rPr>
          <w:rFonts w:hint="eastAsia" w:ascii="新宋体" w:hAnsi="新宋体" w:eastAsia="新宋体"/>
        </w:rPr>
        <w:t>每月</w:t>
      </w:r>
      <w:r>
        <w:rPr>
          <w:rFonts w:hint="eastAsia" w:ascii="新宋体" w:hAnsi="新宋体" w:eastAsia="新宋体"/>
          <w:lang w:val="en-US" w:eastAsia="zh-CN"/>
        </w:rPr>
        <w:t>定期</w:t>
      </w:r>
      <w:r>
        <w:rPr>
          <w:rFonts w:hint="eastAsia" w:ascii="新宋体" w:hAnsi="新宋体" w:eastAsia="新宋体"/>
        </w:rPr>
        <w:t>进行一次月检，并填写《建筑消防设施的维护技术规范》（DB52/T1152-2016）附录B2表B.2《建筑消防设施月检维护记录表》，</w:t>
      </w:r>
      <w:r>
        <w:rPr>
          <w:rFonts w:hint="eastAsia" w:ascii="新宋体" w:hAnsi="新宋体" w:eastAsia="新宋体"/>
          <w:lang w:eastAsia="zh-CN"/>
        </w:rPr>
        <w:t>院方</w:t>
      </w:r>
      <w:r>
        <w:rPr>
          <w:rFonts w:hint="eastAsia" w:ascii="新宋体" w:hAnsi="新宋体" w:eastAsia="新宋体"/>
        </w:rPr>
        <w:t>代表及</w:t>
      </w:r>
      <w:r>
        <w:rPr>
          <w:rFonts w:hint="eastAsia" w:ascii="新宋体" w:hAnsi="新宋体" w:eastAsia="新宋体"/>
          <w:lang w:eastAsia="zh-CN"/>
        </w:rPr>
        <w:t>服务单位</w:t>
      </w:r>
      <w:r>
        <w:rPr>
          <w:rFonts w:hint="eastAsia" w:ascii="新宋体" w:hAnsi="新宋体" w:eastAsia="新宋体"/>
        </w:rPr>
        <w:t>项目负责人签字后各执一份建档管理。</w:t>
      </w:r>
    </w:p>
    <w:p w14:paraId="4273A33D">
      <w:pPr>
        <w:pStyle w:val="3"/>
        <w:keepNext w:val="0"/>
        <w:keepLines w:val="0"/>
        <w:pageBreakBefore w:val="0"/>
        <w:widowControl w:val="0"/>
        <w:tabs>
          <w:tab w:val="left" w:pos="9680"/>
        </w:tabs>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auto"/>
        <w:rPr>
          <w:rFonts w:hint="eastAsia" w:ascii="新宋体" w:hAnsi="新宋体" w:eastAsia="新宋体"/>
        </w:rPr>
      </w:pPr>
      <w:r>
        <w:rPr>
          <w:rFonts w:hint="eastAsia" w:ascii="新宋体" w:hAnsi="新宋体" w:eastAsia="新宋体"/>
        </w:rPr>
        <w:t>②每年的第3、6、9</w:t>
      </w:r>
      <w:r>
        <w:rPr>
          <w:rFonts w:hint="eastAsia" w:ascii="新宋体" w:hAnsi="新宋体" w:eastAsia="新宋体"/>
          <w:lang w:eastAsia="zh-CN"/>
        </w:rPr>
        <w:t>、</w:t>
      </w:r>
      <w:r>
        <w:rPr>
          <w:rFonts w:hint="eastAsia" w:ascii="新宋体" w:hAnsi="新宋体" w:eastAsia="新宋体"/>
          <w:lang w:val="en-US" w:eastAsia="zh-CN"/>
        </w:rPr>
        <w:t>12</w:t>
      </w:r>
      <w:r>
        <w:rPr>
          <w:rFonts w:hint="eastAsia" w:ascii="新宋体" w:hAnsi="新宋体" w:eastAsia="新宋体"/>
        </w:rPr>
        <w:t>月份进行一次季度检查，并填写《建筑消防设施季检维护记录表》，</w:t>
      </w:r>
      <w:r>
        <w:rPr>
          <w:rFonts w:hint="eastAsia" w:ascii="新宋体" w:hAnsi="新宋体" w:eastAsia="新宋体"/>
          <w:lang w:eastAsia="zh-CN"/>
        </w:rPr>
        <w:t>院方</w:t>
      </w:r>
      <w:r>
        <w:rPr>
          <w:rFonts w:hint="eastAsia" w:ascii="新宋体" w:hAnsi="新宋体" w:eastAsia="新宋体"/>
        </w:rPr>
        <w:t>代表及</w:t>
      </w:r>
      <w:r>
        <w:rPr>
          <w:rFonts w:hint="eastAsia" w:ascii="新宋体" w:hAnsi="新宋体" w:eastAsia="新宋体"/>
          <w:lang w:eastAsia="zh-CN"/>
        </w:rPr>
        <w:t>服务单位</w:t>
      </w:r>
      <w:r>
        <w:rPr>
          <w:rFonts w:hint="eastAsia" w:ascii="新宋体" w:hAnsi="新宋体" w:eastAsia="新宋体"/>
        </w:rPr>
        <w:t>项目负责人签字后各执一份建档管理。</w:t>
      </w:r>
    </w:p>
    <w:p w14:paraId="3F90B937">
      <w:pPr>
        <w:pStyle w:val="3"/>
        <w:keepNext w:val="0"/>
        <w:keepLines w:val="0"/>
        <w:pageBreakBefore w:val="0"/>
        <w:widowControl w:val="0"/>
        <w:tabs>
          <w:tab w:val="left" w:pos="9680"/>
        </w:tabs>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auto"/>
      </w:pPr>
      <w:r>
        <w:rPr>
          <w:rFonts w:hint="eastAsia" w:ascii="新宋体" w:hAnsi="新宋体" w:eastAsia="新宋体"/>
        </w:rPr>
        <w:t>③每年</w:t>
      </w:r>
      <w:r>
        <w:t>12月份进行一次年度检查，并填写《建筑消防设施的维护技术规范》</w:t>
      </w:r>
    </w:p>
    <w:p w14:paraId="0D0C926C">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auto"/>
      </w:pPr>
      <w:r>
        <w:t>（DB52/T1152-2016）</w:t>
      </w:r>
      <w:r>
        <w:rPr>
          <w:spacing w:val="-17"/>
        </w:rPr>
        <w:t>附录</w:t>
      </w:r>
      <w:r>
        <w:t>B4</w:t>
      </w:r>
      <w:r>
        <w:rPr>
          <w:spacing w:val="9"/>
        </w:rPr>
        <w:t>表</w:t>
      </w:r>
      <w:r>
        <w:t>B.4</w:t>
      </w:r>
      <w:r>
        <w:rPr>
          <w:spacing w:val="-1"/>
        </w:rPr>
        <w:t>《建筑消防设施年检维护记录表》，</w:t>
      </w:r>
      <w:r>
        <w:rPr>
          <w:rFonts w:hint="eastAsia"/>
          <w:spacing w:val="-1"/>
          <w:lang w:eastAsia="zh-CN"/>
        </w:rPr>
        <w:t>院方</w:t>
      </w:r>
      <w:r>
        <w:rPr>
          <w:spacing w:val="-1"/>
        </w:rPr>
        <w:t>代表及</w:t>
      </w:r>
      <w:r>
        <w:rPr>
          <w:rFonts w:hint="eastAsia"/>
          <w:spacing w:val="-1"/>
          <w:lang w:eastAsia="zh-CN"/>
        </w:rPr>
        <w:t>服务单位</w:t>
      </w:r>
      <w:r>
        <w:rPr>
          <w:spacing w:val="-1"/>
        </w:rPr>
        <w:t>项目</w:t>
      </w:r>
      <w:r>
        <w:t>负责人签字后各执一份建档管理。</w:t>
      </w:r>
    </w:p>
    <w:p w14:paraId="4CCD1C81">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64" w:firstLineChars="200"/>
        <w:jc w:val="both"/>
        <w:textAlignment w:val="auto"/>
        <w:rPr>
          <w:sz w:val="24"/>
        </w:rPr>
      </w:pPr>
      <w:r>
        <w:rPr>
          <w:rFonts w:hint="eastAsia"/>
          <w:spacing w:val="-4"/>
          <w:sz w:val="24"/>
          <w:lang w:val="en-US" w:eastAsia="zh-CN"/>
        </w:rPr>
        <w:t>④</w:t>
      </w:r>
      <w:r>
        <w:rPr>
          <w:spacing w:val="-4"/>
          <w:sz w:val="24"/>
        </w:rPr>
        <w:t>相关消防设施维护保养细则详见月检、季检、年检记录表。</w:t>
      </w:r>
    </w:p>
    <w:p w14:paraId="08382CBF">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both"/>
        <w:textAlignment w:val="auto"/>
        <w:rPr>
          <w:sz w:val="24"/>
        </w:rPr>
      </w:pPr>
      <w:r>
        <w:rPr>
          <w:sz w:val="24"/>
        </w:rPr>
        <w:t>4</w:t>
      </w:r>
      <w:r>
        <w:rPr>
          <w:rFonts w:hint="eastAsia"/>
          <w:sz w:val="24"/>
          <w:lang w:eastAsia="zh-CN"/>
        </w:rPr>
        <w:t>.</w:t>
      </w:r>
      <w:r>
        <w:rPr>
          <w:sz w:val="24"/>
        </w:rPr>
        <w:t>建筑消防设施消防安全隐患整改</w:t>
      </w:r>
    </w:p>
    <w:p w14:paraId="122FCD7F">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sz w:val="24"/>
        </w:rPr>
      </w:pPr>
      <w:r>
        <w:rPr>
          <w:rFonts w:hint="eastAsia"/>
          <w:spacing w:val="-3"/>
          <w:sz w:val="24"/>
          <w:lang w:val="en-US" w:eastAsia="zh-CN"/>
        </w:rPr>
        <w:t>(1)服务单位在项目服务期间，对发现的任何隐患按规范进行整改，及时排除隐患，确</w:t>
      </w:r>
      <w:r>
        <w:rPr>
          <w:spacing w:val="-3"/>
          <w:sz w:val="24"/>
        </w:rPr>
        <w:t>不能立即</w:t>
      </w:r>
      <w:r>
        <w:rPr>
          <w:rFonts w:hint="eastAsia"/>
          <w:spacing w:val="-3"/>
          <w:sz w:val="24"/>
          <w:lang w:val="en-US" w:eastAsia="zh-CN"/>
        </w:rPr>
        <w:t>整改</w:t>
      </w:r>
      <w:r>
        <w:rPr>
          <w:spacing w:val="-3"/>
          <w:sz w:val="24"/>
        </w:rPr>
        <w:t>的，</w:t>
      </w:r>
      <w:r>
        <w:rPr>
          <w:rFonts w:hint="eastAsia"/>
          <w:spacing w:val="-3"/>
          <w:sz w:val="24"/>
          <w:lang w:val="en-US" w:eastAsia="zh-CN"/>
        </w:rPr>
        <w:t>第一时间报告院</w:t>
      </w:r>
      <w:r>
        <w:rPr>
          <w:spacing w:val="-3"/>
          <w:sz w:val="24"/>
        </w:rPr>
        <w:t>方</w:t>
      </w:r>
      <w:r>
        <w:rPr>
          <w:rFonts w:hint="eastAsia"/>
          <w:spacing w:val="-3"/>
          <w:sz w:val="24"/>
          <w:lang w:val="en-US" w:eastAsia="zh-CN"/>
        </w:rPr>
        <w:t>，并制定相关安全保障措施确保院方时刻的消防安全。</w:t>
      </w:r>
    </w:p>
    <w:p w14:paraId="4C83360D">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sz w:val="24"/>
        </w:rPr>
      </w:pPr>
      <w:r>
        <w:rPr>
          <w:rFonts w:hint="eastAsia"/>
          <w:spacing w:val="-3"/>
          <w:sz w:val="24"/>
          <w:lang w:val="en-US" w:eastAsia="zh-CN"/>
        </w:rPr>
        <w:t>(2)</w:t>
      </w:r>
      <w:r>
        <w:rPr>
          <w:spacing w:val="-3"/>
          <w:sz w:val="24"/>
        </w:rPr>
        <w:t>现场不能立即改正的建筑消防设施消防安全隐患，应以书面提出，并应对隐患进行详细描述，提出整改建议，形成的整改方案，报</w:t>
      </w:r>
      <w:r>
        <w:rPr>
          <w:rFonts w:hint="eastAsia"/>
          <w:spacing w:val="-3"/>
          <w:sz w:val="24"/>
          <w:lang w:eastAsia="zh-CN"/>
        </w:rPr>
        <w:t>院方</w:t>
      </w:r>
      <w:r>
        <w:rPr>
          <w:spacing w:val="-3"/>
          <w:sz w:val="24"/>
        </w:rPr>
        <w:t>批准后实施。</w:t>
      </w:r>
    </w:p>
    <w:p w14:paraId="2DA618C1">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rFonts w:hint="eastAsia"/>
          <w:b w:val="0"/>
          <w:bCs w:val="0"/>
          <w:lang w:eastAsia="zh-CN"/>
        </w:rPr>
      </w:pPr>
      <w:r>
        <w:rPr>
          <w:rFonts w:hint="eastAsia"/>
          <w:spacing w:val="-3"/>
          <w:sz w:val="24"/>
          <w:lang w:val="en-US" w:eastAsia="zh-CN"/>
        </w:rPr>
        <w:t>(3)为确保院方消防安全，紧急情况下，</w:t>
      </w:r>
      <w:r>
        <w:rPr>
          <w:rFonts w:hint="eastAsia"/>
          <w:spacing w:val="-3"/>
          <w:sz w:val="24"/>
          <w:lang w:eastAsia="zh-CN"/>
        </w:rPr>
        <w:t>服务单位</w:t>
      </w:r>
      <w:r>
        <w:rPr>
          <w:spacing w:val="-3"/>
          <w:sz w:val="24"/>
        </w:rPr>
        <w:t>有义务</w:t>
      </w:r>
      <w:r>
        <w:rPr>
          <w:rFonts w:hint="eastAsia"/>
          <w:spacing w:val="-3"/>
          <w:sz w:val="24"/>
          <w:lang w:val="en-US" w:eastAsia="zh-CN"/>
        </w:rPr>
        <w:t>第一时间处置</w:t>
      </w:r>
      <w:r>
        <w:rPr>
          <w:spacing w:val="-3"/>
          <w:sz w:val="24"/>
        </w:rPr>
        <w:t>非</w:t>
      </w:r>
      <w:r>
        <w:rPr>
          <w:rFonts w:hint="eastAsia"/>
          <w:spacing w:val="-3"/>
          <w:sz w:val="24"/>
          <w:lang w:val="en-US" w:eastAsia="zh-CN"/>
        </w:rPr>
        <w:t>本项目服务内</w:t>
      </w:r>
      <w:r>
        <w:rPr>
          <w:spacing w:val="-3"/>
          <w:sz w:val="24"/>
        </w:rPr>
        <w:t>的</w:t>
      </w:r>
      <w:r>
        <w:rPr>
          <w:rFonts w:hint="eastAsia"/>
          <w:spacing w:val="-3"/>
          <w:sz w:val="24"/>
          <w:lang w:val="en-US" w:eastAsia="zh-CN"/>
        </w:rPr>
        <w:t>其他</w:t>
      </w:r>
      <w:r>
        <w:rPr>
          <w:spacing w:val="-3"/>
          <w:sz w:val="24"/>
        </w:rPr>
        <w:t>消防安全隐患事项</w:t>
      </w:r>
      <w:r>
        <w:rPr>
          <w:rFonts w:hint="eastAsia"/>
          <w:spacing w:val="-3"/>
          <w:sz w:val="24"/>
          <w:lang w:eastAsia="zh-CN"/>
        </w:rPr>
        <w:t>，</w:t>
      </w:r>
      <w:r>
        <w:rPr>
          <w:rFonts w:hint="eastAsia"/>
          <w:spacing w:val="-3"/>
          <w:sz w:val="24"/>
          <w:lang w:val="en-US" w:eastAsia="zh-CN"/>
        </w:rPr>
        <w:t>并第一时间报告院</w:t>
      </w:r>
      <w:r>
        <w:rPr>
          <w:spacing w:val="-3"/>
          <w:sz w:val="24"/>
        </w:rPr>
        <w:t>方</w:t>
      </w:r>
      <w:r>
        <w:rPr>
          <w:rFonts w:hint="eastAsia"/>
          <w:spacing w:val="-3"/>
          <w:sz w:val="24"/>
          <w:lang w:eastAsia="zh-CN"/>
        </w:rPr>
        <w:t>，</w:t>
      </w:r>
      <w:r>
        <w:rPr>
          <w:rFonts w:hint="eastAsia"/>
          <w:spacing w:val="-3"/>
          <w:sz w:val="24"/>
          <w:lang w:val="en-US" w:eastAsia="zh-CN"/>
        </w:rPr>
        <w:t>由此产生的实际整改费用院方承诺承担</w:t>
      </w:r>
      <w:r>
        <w:rPr>
          <w:spacing w:val="-3"/>
          <w:sz w:val="24"/>
        </w:rPr>
        <w:t>。</w:t>
      </w:r>
    </w:p>
    <w:p w14:paraId="27CFB537">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eastAsia"/>
          <w:lang w:val="en-US" w:eastAsia="zh-CN"/>
        </w:rPr>
      </w:pPr>
      <w:r>
        <w:rPr>
          <w:rFonts w:hint="eastAsia"/>
          <w:lang w:val="en-US" w:eastAsia="zh-CN"/>
        </w:rPr>
        <w:t>（三）材料与设备</w:t>
      </w:r>
    </w:p>
    <w:p w14:paraId="1F07872F">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pPr>
      <w:r>
        <w:t>1</w:t>
      </w:r>
      <w:r>
        <w:rPr>
          <w:rFonts w:hint="eastAsia"/>
          <w:lang w:eastAsia="zh-CN"/>
        </w:rPr>
        <w:t>.</w:t>
      </w:r>
      <w:r>
        <w:t>维护保养项目材料与设备由</w:t>
      </w:r>
      <w:r>
        <w:rPr>
          <w:rFonts w:hint="eastAsia"/>
          <w:lang w:val="en-US" w:eastAsia="zh-CN"/>
        </w:rPr>
        <w:t>院</w:t>
      </w:r>
      <w:r>
        <w:t>方负责采购的，</w:t>
      </w:r>
      <w:r>
        <w:rPr>
          <w:rFonts w:hint="eastAsia"/>
          <w:lang w:eastAsia="zh-CN"/>
        </w:rPr>
        <w:t>服务单位</w:t>
      </w:r>
      <w:r>
        <w:t>应有义务就设备的技术参数、性能要求等提供技术指导。</w:t>
      </w:r>
    </w:p>
    <w:p w14:paraId="3FACA2FF">
      <w:pPr>
        <w:pStyle w:val="3"/>
        <w:keepNext w:val="0"/>
        <w:keepLines w:val="0"/>
        <w:pageBreakBefore w:val="0"/>
        <w:widowControl w:val="0"/>
        <w:tabs>
          <w:tab w:val="left" w:pos="9020"/>
        </w:tabs>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auto"/>
      </w:pPr>
      <w:r>
        <w:t>2</w:t>
      </w:r>
      <w:r>
        <w:rPr>
          <w:rFonts w:hint="eastAsia"/>
          <w:lang w:eastAsia="zh-CN"/>
        </w:rPr>
        <w:t>.</w:t>
      </w:r>
      <w:r>
        <w:t>维护保养项目材料与设备由</w:t>
      </w:r>
      <w:r>
        <w:rPr>
          <w:rFonts w:hint="eastAsia"/>
          <w:lang w:eastAsia="zh-CN"/>
        </w:rPr>
        <w:t>服务单位</w:t>
      </w:r>
      <w:r>
        <w:t>负责采购、</w:t>
      </w:r>
      <w:r>
        <w:rPr>
          <w:rFonts w:hint="eastAsia"/>
          <w:lang w:eastAsia="zh-CN"/>
        </w:rPr>
        <w:t>院方</w:t>
      </w:r>
      <w:r>
        <w:t>支付费用的，</w:t>
      </w:r>
      <w:r>
        <w:rPr>
          <w:rFonts w:hint="eastAsia"/>
          <w:lang w:eastAsia="zh-CN"/>
        </w:rPr>
        <w:t>服务单位</w:t>
      </w:r>
      <w:r>
        <w:t>应将所需采购的材</w:t>
      </w:r>
      <w:r>
        <w:rPr>
          <w:spacing w:val="-4"/>
        </w:rPr>
        <w:t>料设备清单及报价资料等报请</w:t>
      </w:r>
      <w:r>
        <w:rPr>
          <w:rFonts w:hint="eastAsia"/>
          <w:spacing w:val="-4"/>
          <w:lang w:eastAsia="zh-CN"/>
        </w:rPr>
        <w:t>院方</w:t>
      </w:r>
      <w:r>
        <w:rPr>
          <w:spacing w:val="-4"/>
        </w:rPr>
        <w:t>批准后方可进行采购。如费用由</w:t>
      </w:r>
      <w:r>
        <w:rPr>
          <w:rFonts w:hint="eastAsia"/>
          <w:spacing w:val="-4"/>
          <w:lang w:eastAsia="zh-CN"/>
        </w:rPr>
        <w:t>服务单位</w:t>
      </w:r>
      <w:r>
        <w:rPr>
          <w:spacing w:val="-4"/>
        </w:rPr>
        <w:t>支付的，</w:t>
      </w:r>
      <w:r>
        <w:rPr>
          <w:rFonts w:hint="eastAsia"/>
          <w:spacing w:val="-4"/>
          <w:lang w:eastAsia="zh-CN"/>
        </w:rPr>
        <w:t>服务单位</w:t>
      </w:r>
      <w:r>
        <w:rPr>
          <w:spacing w:val="-4"/>
        </w:rPr>
        <w:t>应将所需</w:t>
      </w:r>
      <w:r>
        <w:t>采购的材料设备清单报</w:t>
      </w:r>
      <w:r>
        <w:rPr>
          <w:rFonts w:hint="eastAsia"/>
          <w:lang w:eastAsia="zh-CN"/>
        </w:rPr>
        <w:t>院方</w:t>
      </w:r>
      <w:r>
        <w:t>建档管理。</w:t>
      </w:r>
    </w:p>
    <w:p w14:paraId="72685E42">
      <w:pPr>
        <w:pStyle w:val="3"/>
        <w:keepNext w:val="0"/>
        <w:keepLines w:val="0"/>
        <w:pageBreakBefore w:val="0"/>
        <w:widowControl w:val="0"/>
        <w:tabs>
          <w:tab w:val="left" w:pos="220"/>
        </w:tabs>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color w:val="000000"/>
        </w:rPr>
      </w:pPr>
      <w:r>
        <w:t>3</w:t>
      </w:r>
      <w:r>
        <w:rPr>
          <w:rFonts w:hint="eastAsia"/>
          <w:lang w:eastAsia="zh-CN"/>
        </w:rPr>
        <w:t>.</w:t>
      </w:r>
      <w:r>
        <w:t>进场设备应进行现场检查并详细记录。禁止使用不合格、不符合国家消防产品要求的材料</w:t>
      </w:r>
      <w:r>
        <w:rPr>
          <w:color w:val="000000"/>
        </w:rPr>
        <w:t>和设备。</w:t>
      </w:r>
    </w:p>
    <w:p w14:paraId="49E07C9A">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color w:val="000000"/>
          <w:spacing w:val="-3"/>
          <w:sz w:val="24"/>
        </w:rPr>
      </w:pPr>
      <w:r>
        <w:rPr>
          <w:rFonts w:hint="eastAsia"/>
          <w:color w:val="000000"/>
          <w:spacing w:val="-3"/>
          <w:sz w:val="24"/>
          <w:lang w:val="en-US" w:eastAsia="zh-CN"/>
        </w:rPr>
        <w:t>4.服务单位应</w:t>
      </w:r>
      <w:r>
        <w:rPr>
          <w:rFonts w:hint="eastAsia"/>
          <w:color w:val="000000"/>
          <w:spacing w:val="-3"/>
          <w:sz w:val="24"/>
        </w:rPr>
        <w:t>按规范要求配备一定数量的消防设施易损件，以保证消防系统能及时维修并恢复良好可用状态。</w:t>
      </w:r>
    </w:p>
    <w:p w14:paraId="3BE7E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方正小标宋简体" w:hAnsi="方正小标宋简体" w:eastAsia="方正小标宋简体" w:cs="方正小标宋简体"/>
          <w:b/>
          <w:bCs/>
          <w:i w:val="0"/>
          <w:iCs w:val="0"/>
          <w:caps w:val="0"/>
          <w:color w:val="212121"/>
          <w:spacing w:val="0"/>
          <w:sz w:val="44"/>
          <w:szCs w:val="44"/>
          <w:u w:val="none"/>
        </w:rPr>
      </w:pPr>
    </w:p>
    <w:p w14:paraId="2B3E9B75">
      <w:pPr>
        <w:adjustRightInd w:val="0"/>
        <w:snapToGrid w:val="0"/>
        <w:spacing w:line="480" w:lineRule="auto"/>
        <w:rPr>
          <w:b/>
          <w:color w:val="auto"/>
          <w:szCs w:val="21"/>
          <w:highlight w:val="none"/>
        </w:rPr>
      </w:pPr>
      <w:r>
        <w:rPr>
          <w:rFonts w:hint="eastAsia"/>
          <w:b/>
          <w:color w:val="auto"/>
          <w:szCs w:val="21"/>
          <w:highlight w:val="none"/>
        </w:rPr>
        <w:t xml:space="preserve">附件1 </w:t>
      </w:r>
    </w:p>
    <w:p w14:paraId="69D04947">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消防维保服务</w:t>
      </w:r>
      <w:r>
        <w:rPr>
          <w:rFonts w:hint="eastAsia" w:ascii="宋体" w:hAnsi="宋体"/>
          <w:b/>
          <w:color w:val="auto"/>
          <w:sz w:val="28"/>
          <w:szCs w:val="28"/>
          <w:highlight w:val="none"/>
          <w:lang w:eastAsia="zh-CN"/>
        </w:rPr>
        <w:t>月度</w:t>
      </w:r>
      <w:r>
        <w:rPr>
          <w:rFonts w:hint="eastAsia" w:ascii="宋体" w:hAnsi="宋体"/>
          <w:b/>
          <w:color w:val="auto"/>
          <w:sz w:val="28"/>
          <w:szCs w:val="28"/>
          <w:highlight w:val="none"/>
        </w:rPr>
        <w:t>考核评分表</w:t>
      </w:r>
    </w:p>
    <w:p w14:paraId="3071795F">
      <w:pPr>
        <w:ind w:firstLine="4830"/>
        <w:rPr>
          <w:rFonts w:ascii="宋体" w:hAnsi="宋体"/>
          <w:color w:val="auto"/>
          <w:szCs w:val="21"/>
          <w:highlight w:val="none"/>
        </w:rPr>
      </w:pPr>
    </w:p>
    <w:tbl>
      <w:tblPr>
        <w:tblStyle w:val="7"/>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1164"/>
        <w:gridCol w:w="4191"/>
        <w:gridCol w:w="1320"/>
        <w:gridCol w:w="1190"/>
      </w:tblGrid>
      <w:tr w14:paraId="2A77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70" w:type="dxa"/>
            <w:gridSpan w:val="5"/>
            <w:tcBorders>
              <w:top w:val="nil"/>
              <w:left w:val="nil"/>
              <w:bottom w:val="single" w:color="auto" w:sz="4" w:space="0"/>
              <w:right w:val="nil"/>
            </w:tcBorders>
            <w:noWrap w:val="0"/>
            <w:vAlign w:val="center"/>
          </w:tcPr>
          <w:p w14:paraId="2CF42855">
            <w:pPr>
              <w:jc w:val="center"/>
              <w:rPr>
                <w:rFonts w:hint="eastAsia"/>
                <w:color w:val="auto"/>
                <w:highlight w:val="none"/>
              </w:rPr>
            </w:pPr>
            <w:r>
              <w:rPr>
                <w:rFonts w:hint="eastAsia"/>
                <w:color w:val="auto"/>
                <w:sz w:val="28"/>
                <w:szCs w:val="36"/>
                <w:highlight w:val="none"/>
                <w:lang w:val="en-US" w:eastAsia="zh-CN"/>
              </w:rPr>
              <w:t>消防维保服务月度考核评分表</w:t>
            </w:r>
          </w:p>
        </w:tc>
      </w:tr>
      <w:tr w14:paraId="6491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70" w:type="dxa"/>
            <w:gridSpan w:val="5"/>
            <w:tcBorders>
              <w:top w:val="single" w:color="auto" w:sz="4" w:space="0"/>
              <w:left w:val="single" w:color="auto" w:sz="4" w:space="0"/>
              <w:bottom w:val="single" w:color="auto" w:sz="4" w:space="0"/>
              <w:right w:val="single" w:color="auto" w:sz="4" w:space="0"/>
            </w:tcBorders>
            <w:noWrap w:val="0"/>
            <w:vAlign w:val="center"/>
          </w:tcPr>
          <w:p w14:paraId="62538E30">
            <w:pPr>
              <w:rPr>
                <w:rFonts w:hint="eastAsia"/>
                <w:color w:val="auto"/>
                <w:highlight w:val="none"/>
              </w:rPr>
            </w:pPr>
            <w:r>
              <w:rPr>
                <w:rFonts w:hint="eastAsia"/>
                <w:color w:val="auto"/>
                <w:highlight w:val="none"/>
                <w:lang w:val="en-US" w:eastAsia="zh-CN"/>
              </w:rPr>
              <w:t>考核单位：                   被考核公司：               考核时间：</w:t>
            </w:r>
          </w:p>
        </w:tc>
      </w:tr>
      <w:tr w14:paraId="37B3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56045A3E">
            <w:pPr>
              <w:rPr>
                <w:color w:val="auto"/>
                <w:highlight w:val="none"/>
              </w:rPr>
            </w:pPr>
            <w:r>
              <w:rPr>
                <w:rFonts w:hint="default"/>
                <w:color w:val="auto"/>
                <w:highlight w:val="none"/>
                <w:lang w:val="en-US" w:eastAsia="zh-CN"/>
              </w:rPr>
              <w:t>序号</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6003D08">
            <w:pPr>
              <w:rPr>
                <w:rFonts w:hint="default"/>
                <w:color w:val="auto"/>
                <w:highlight w:val="none"/>
              </w:rPr>
            </w:pPr>
            <w:r>
              <w:rPr>
                <w:rFonts w:hint="default"/>
                <w:color w:val="auto"/>
                <w:highlight w:val="none"/>
                <w:lang w:val="en-US" w:eastAsia="zh-CN"/>
              </w:rPr>
              <w:t>项目</w:t>
            </w:r>
          </w:p>
        </w:tc>
        <w:tc>
          <w:tcPr>
            <w:tcW w:w="4191" w:type="dxa"/>
            <w:tcBorders>
              <w:top w:val="single" w:color="auto" w:sz="4" w:space="0"/>
              <w:left w:val="single" w:color="auto" w:sz="4" w:space="0"/>
              <w:bottom w:val="single" w:color="auto" w:sz="4" w:space="0"/>
              <w:right w:val="single" w:color="auto" w:sz="4" w:space="0"/>
            </w:tcBorders>
            <w:noWrap w:val="0"/>
            <w:vAlign w:val="center"/>
          </w:tcPr>
          <w:p w14:paraId="574CEE46">
            <w:pPr>
              <w:rPr>
                <w:rFonts w:hint="default"/>
                <w:color w:val="auto"/>
                <w:highlight w:val="none"/>
              </w:rPr>
            </w:pPr>
            <w:r>
              <w:rPr>
                <w:rFonts w:hint="default"/>
                <w:color w:val="auto"/>
                <w:highlight w:val="none"/>
                <w:lang w:val="en-US" w:eastAsia="zh-CN"/>
              </w:rPr>
              <w:t>服务质量考核内容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B89C703">
            <w:pPr>
              <w:rPr>
                <w:rFonts w:hint="default"/>
                <w:color w:val="auto"/>
                <w:highlight w:val="none"/>
              </w:rPr>
            </w:pPr>
            <w:r>
              <w:rPr>
                <w:rFonts w:hint="default"/>
                <w:color w:val="auto"/>
                <w:highlight w:val="none"/>
                <w:lang w:val="en-US" w:eastAsia="zh-CN"/>
              </w:rPr>
              <w:t>得分</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3CAEF4B4">
            <w:pPr>
              <w:rPr>
                <w:rFonts w:hint="default"/>
                <w:color w:val="auto"/>
                <w:highlight w:val="none"/>
              </w:rPr>
            </w:pPr>
            <w:r>
              <w:rPr>
                <w:rFonts w:hint="default"/>
                <w:color w:val="auto"/>
                <w:highlight w:val="none"/>
                <w:lang w:val="en-US" w:eastAsia="zh-CN"/>
              </w:rPr>
              <w:t xml:space="preserve">  备注</w:t>
            </w:r>
          </w:p>
        </w:tc>
      </w:tr>
      <w:tr w14:paraId="58B9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5" w:type="dxa"/>
            <w:tcBorders>
              <w:top w:val="single" w:color="auto" w:sz="4" w:space="0"/>
              <w:left w:val="single" w:color="000000" w:sz="4" w:space="0"/>
              <w:bottom w:val="single" w:color="000000" w:sz="4" w:space="0"/>
              <w:right w:val="single" w:color="000000" w:sz="4" w:space="0"/>
            </w:tcBorders>
            <w:noWrap w:val="0"/>
            <w:vAlign w:val="center"/>
          </w:tcPr>
          <w:p w14:paraId="26AB0F5D">
            <w:pPr>
              <w:jc w:val="center"/>
              <w:rPr>
                <w:rFonts w:hint="default"/>
                <w:color w:val="auto"/>
                <w:highlight w:val="none"/>
              </w:rPr>
            </w:pPr>
            <w:r>
              <w:rPr>
                <w:rFonts w:hint="default"/>
                <w:color w:val="auto"/>
                <w:highlight w:val="none"/>
                <w:lang w:val="en-US" w:eastAsia="zh-CN"/>
              </w:rPr>
              <w:t>1</w:t>
            </w:r>
          </w:p>
        </w:tc>
        <w:tc>
          <w:tcPr>
            <w:tcW w:w="1164" w:type="dxa"/>
            <w:tcBorders>
              <w:top w:val="single" w:color="auto" w:sz="4" w:space="0"/>
              <w:left w:val="single" w:color="000000" w:sz="4" w:space="0"/>
              <w:bottom w:val="single" w:color="000000" w:sz="4" w:space="0"/>
              <w:right w:val="single" w:color="000000" w:sz="4" w:space="0"/>
            </w:tcBorders>
            <w:noWrap w:val="0"/>
            <w:vAlign w:val="center"/>
          </w:tcPr>
          <w:p w14:paraId="74A46F9D">
            <w:pPr>
              <w:rPr>
                <w:rFonts w:hint="default"/>
                <w:color w:val="auto"/>
                <w:highlight w:val="none"/>
              </w:rPr>
            </w:pPr>
            <w:r>
              <w:rPr>
                <w:color w:val="auto"/>
                <w:highlight w:val="none"/>
                <w:lang w:val="en-US" w:eastAsia="zh-CN"/>
              </w:rPr>
              <w:t>遗留问题（10</w:t>
            </w:r>
            <w:r>
              <w:rPr>
                <w:rFonts w:hint="eastAsia"/>
                <w:color w:val="auto"/>
                <w:highlight w:val="none"/>
                <w:lang w:val="en-US" w:eastAsia="zh-CN"/>
              </w:rPr>
              <w:t>分）</w:t>
            </w:r>
          </w:p>
        </w:tc>
        <w:tc>
          <w:tcPr>
            <w:tcW w:w="4191" w:type="dxa"/>
            <w:tcBorders>
              <w:top w:val="single" w:color="auto" w:sz="4" w:space="0"/>
              <w:left w:val="single" w:color="000000" w:sz="4" w:space="0"/>
              <w:bottom w:val="single" w:color="000000" w:sz="4" w:space="0"/>
              <w:right w:val="single" w:color="000000" w:sz="4" w:space="0"/>
            </w:tcBorders>
            <w:noWrap w:val="0"/>
            <w:vAlign w:val="center"/>
          </w:tcPr>
          <w:p w14:paraId="03F2EECA">
            <w:pPr>
              <w:rPr>
                <w:color w:val="auto"/>
                <w:highlight w:val="none"/>
              </w:rPr>
            </w:pPr>
            <w:r>
              <w:rPr>
                <w:color w:val="auto"/>
                <w:highlight w:val="none"/>
                <w:lang w:val="en-US" w:eastAsia="zh-CN"/>
              </w:rPr>
              <w:t>消防主机故障</w:t>
            </w:r>
            <w:r>
              <w:rPr>
                <w:rFonts w:hint="default"/>
                <w:color w:val="auto"/>
                <w:highlight w:val="none"/>
                <w:lang w:val="en-US" w:eastAsia="zh-CN"/>
              </w:rPr>
              <w:t>/</w:t>
            </w:r>
            <w:r>
              <w:rPr>
                <w:rFonts w:hint="eastAsia"/>
                <w:color w:val="auto"/>
                <w:highlight w:val="none"/>
                <w:lang w:val="en-US" w:eastAsia="zh-CN"/>
              </w:rPr>
              <w:t>屏蔽</w:t>
            </w:r>
            <w:r>
              <w:rPr>
                <w:color w:val="auto"/>
                <w:highlight w:val="none"/>
                <w:lang w:val="en-US" w:eastAsia="zh-CN"/>
              </w:rPr>
              <w:t>遗留问题解决情况，每遗留一个问题扣2分。</w:t>
            </w:r>
          </w:p>
        </w:tc>
        <w:tc>
          <w:tcPr>
            <w:tcW w:w="1320" w:type="dxa"/>
            <w:tcBorders>
              <w:top w:val="single" w:color="auto" w:sz="4" w:space="0"/>
              <w:left w:val="single" w:color="000000" w:sz="4" w:space="0"/>
              <w:bottom w:val="single" w:color="000000" w:sz="4" w:space="0"/>
              <w:right w:val="single" w:color="000000" w:sz="4" w:space="0"/>
            </w:tcBorders>
            <w:noWrap w:val="0"/>
            <w:vAlign w:val="center"/>
          </w:tcPr>
          <w:p w14:paraId="1BF1DE8E">
            <w:pPr>
              <w:rPr>
                <w:rFonts w:hint="default"/>
                <w:color w:val="auto"/>
                <w:highlight w:val="none"/>
              </w:rPr>
            </w:pPr>
          </w:p>
        </w:tc>
        <w:tc>
          <w:tcPr>
            <w:tcW w:w="1190" w:type="dxa"/>
            <w:tcBorders>
              <w:top w:val="single" w:color="auto" w:sz="4" w:space="0"/>
              <w:left w:val="single" w:color="000000" w:sz="4" w:space="0"/>
              <w:bottom w:val="single" w:color="000000" w:sz="4" w:space="0"/>
              <w:right w:val="single" w:color="000000" w:sz="4" w:space="0"/>
            </w:tcBorders>
            <w:noWrap w:val="0"/>
            <w:vAlign w:val="top"/>
          </w:tcPr>
          <w:p w14:paraId="0F96DBD2">
            <w:pPr>
              <w:rPr>
                <w:rFonts w:hint="default"/>
                <w:color w:val="auto"/>
                <w:highlight w:val="none"/>
              </w:rPr>
            </w:pPr>
          </w:p>
        </w:tc>
      </w:tr>
      <w:tr w14:paraId="2E37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4"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6BC0A6">
            <w:pPr>
              <w:jc w:val="center"/>
              <w:rPr>
                <w:color w:val="auto"/>
                <w:highlight w:val="none"/>
              </w:rPr>
            </w:pPr>
            <w:r>
              <w:rPr>
                <w:color w:val="auto"/>
                <w:highlight w:val="none"/>
                <w:lang w:val="en-US" w:eastAsia="zh-CN"/>
              </w:rPr>
              <w:t>2</w:t>
            </w:r>
          </w:p>
        </w:tc>
        <w:tc>
          <w:tcPr>
            <w:tcW w:w="1164" w:type="dxa"/>
            <w:vMerge w:val="restart"/>
            <w:tcBorders>
              <w:top w:val="nil"/>
              <w:left w:val="single" w:color="000000" w:sz="4" w:space="0"/>
              <w:bottom w:val="single" w:color="000000" w:sz="4" w:space="0"/>
              <w:right w:val="single" w:color="000000" w:sz="4" w:space="0"/>
            </w:tcBorders>
            <w:noWrap w:val="0"/>
            <w:vAlign w:val="center"/>
          </w:tcPr>
          <w:p w14:paraId="25CB08FD">
            <w:pPr>
              <w:rPr>
                <w:rFonts w:hint="default"/>
                <w:color w:val="auto"/>
                <w:highlight w:val="none"/>
              </w:rPr>
            </w:pPr>
            <w:r>
              <w:rPr>
                <w:rFonts w:hint="eastAsia"/>
                <w:color w:val="auto"/>
                <w:highlight w:val="none"/>
                <w:lang w:val="en-US" w:eastAsia="zh-CN"/>
              </w:rPr>
              <w:t>维保</w:t>
            </w:r>
            <w:r>
              <w:rPr>
                <w:color w:val="auto"/>
                <w:highlight w:val="none"/>
                <w:lang w:val="en-US" w:eastAsia="zh-CN"/>
              </w:rPr>
              <w:t>工作情况（</w:t>
            </w:r>
            <w:r>
              <w:rPr>
                <w:rFonts w:hint="default"/>
                <w:color w:val="auto"/>
                <w:highlight w:val="none"/>
                <w:lang w:val="en-US" w:eastAsia="zh-CN"/>
              </w:rPr>
              <w:t>30</w:t>
            </w:r>
            <w:r>
              <w:rPr>
                <w:rFonts w:hint="eastAsia"/>
                <w:color w:val="auto"/>
                <w:highlight w:val="none"/>
                <w:lang w:val="en-US" w:eastAsia="zh-CN"/>
              </w:rPr>
              <w:t>分）</w:t>
            </w: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42BE8F90">
            <w:pPr>
              <w:rPr>
                <w:color w:val="auto"/>
                <w:highlight w:val="none"/>
              </w:rPr>
            </w:pPr>
            <w:r>
              <w:rPr>
                <w:color w:val="auto"/>
                <w:highlight w:val="none"/>
                <w:lang w:val="en-US" w:eastAsia="zh-CN"/>
              </w:rPr>
              <w:t>本</w:t>
            </w:r>
            <w:r>
              <w:rPr>
                <w:rFonts w:hint="eastAsia"/>
                <w:color w:val="auto"/>
                <w:highlight w:val="none"/>
                <w:lang w:val="en-US" w:eastAsia="zh-CN"/>
              </w:rPr>
              <w:t>月</w:t>
            </w:r>
            <w:r>
              <w:rPr>
                <w:color w:val="auto"/>
                <w:highlight w:val="none"/>
                <w:lang w:val="en-US" w:eastAsia="zh-CN"/>
              </w:rPr>
              <w:t>度消防设备设施年度对消防供配电系统、火灾自动报警系统、消防供水设施、消火栓、自动喷水系统、泡沫和气体灭火系统、防排烟系统、疏散照明、应急广播、消防电话、防火分隔等、消防电梯、电气火灾监控系统、可燃气体报警系统的</w:t>
            </w:r>
            <w:r>
              <w:rPr>
                <w:rFonts w:hint="eastAsia"/>
                <w:color w:val="auto"/>
                <w:highlight w:val="none"/>
                <w:lang w:val="en-US" w:eastAsia="zh-CN"/>
              </w:rPr>
              <w:t>每月</w:t>
            </w:r>
            <w:r>
              <w:rPr>
                <w:color w:val="auto"/>
                <w:highlight w:val="none"/>
                <w:lang w:val="en-US" w:eastAsia="zh-CN"/>
              </w:rPr>
              <w:t>检查维保计划表完成情况。</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DF4940">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1BDC740E">
            <w:pPr>
              <w:rPr>
                <w:rFonts w:hint="default"/>
                <w:color w:val="auto"/>
                <w:highlight w:val="none"/>
              </w:rPr>
            </w:pPr>
          </w:p>
        </w:tc>
      </w:tr>
      <w:tr w14:paraId="31F2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65685">
            <w:pPr>
              <w:jc w:val="center"/>
              <w:rPr>
                <w:rFonts w:hint="eastAsia"/>
                <w:color w:val="auto"/>
                <w:highlight w:val="none"/>
              </w:rPr>
            </w:pPr>
          </w:p>
        </w:tc>
        <w:tc>
          <w:tcPr>
            <w:tcW w:w="1164" w:type="dxa"/>
            <w:vMerge w:val="continue"/>
            <w:tcBorders>
              <w:top w:val="nil"/>
              <w:left w:val="single" w:color="000000" w:sz="4" w:space="0"/>
              <w:bottom w:val="single" w:color="000000" w:sz="4" w:space="0"/>
              <w:right w:val="single" w:color="000000" w:sz="4" w:space="0"/>
            </w:tcBorders>
            <w:noWrap w:val="0"/>
            <w:vAlign w:val="center"/>
          </w:tcPr>
          <w:p w14:paraId="58D700CC">
            <w:pPr>
              <w:rPr>
                <w:rFonts w:hint="default"/>
                <w:color w:val="auto"/>
                <w:highlight w:val="none"/>
              </w:rPr>
            </w:pP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227B8656">
            <w:pPr>
              <w:rPr>
                <w:color w:val="auto"/>
                <w:highlight w:val="none"/>
                <w:lang w:val="en-US" w:eastAsia="zh-CN"/>
              </w:rPr>
            </w:pPr>
            <w:r>
              <w:rPr>
                <w:color w:val="auto"/>
                <w:highlight w:val="none"/>
                <w:lang w:val="en-US" w:eastAsia="zh-CN"/>
              </w:rPr>
              <w:t>本</w:t>
            </w:r>
            <w:r>
              <w:rPr>
                <w:rFonts w:hint="eastAsia"/>
                <w:color w:val="auto"/>
                <w:highlight w:val="none"/>
                <w:lang w:val="en-US" w:eastAsia="zh-CN"/>
              </w:rPr>
              <w:t>月</w:t>
            </w:r>
            <w:r>
              <w:rPr>
                <w:color w:val="auto"/>
                <w:highlight w:val="none"/>
                <w:lang w:val="en-US" w:eastAsia="zh-CN"/>
              </w:rPr>
              <w:t>度所提出的设备设施故障排除情况：</w:t>
            </w:r>
            <w:r>
              <w:rPr>
                <w:color w:val="auto"/>
                <w:highlight w:val="none"/>
                <w:lang w:val="en-US" w:eastAsia="zh-CN"/>
              </w:rPr>
              <w:br w:type="textWrapping"/>
            </w:r>
            <w:r>
              <w:rPr>
                <w:color w:val="auto"/>
                <w:highlight w:val="none"/>
                <w:lang w:val="en-US" w:eastAsia="zh-CN"/>
              </w:rPr>
              <w:t>合计</w:t>
            </w:r>
            <w:r>
              <w:rPr>
                <w:color w:val="auto"/>
                <w:highlight w:val="none"/>
                <w:u w:val="single"/>
                <w:lang w:val="en-US" w:eastAsia="zh-CN"/>
              </w:rPr>
              <w:t xml:space="preserve">    </w:t>
            </w:r>
            <w:r>
              <w:rPr>
                <w:color w:val="auto"/>
                <w:highlight w:val="none"/>
                <w:lang w:val="en-US" w:eastAsia="zh-CN"/>
              </w:rPr>
              <w:t>项，完成</w:t>
            </w:r>
            <w:r>
              <w:rPr>
                <w:color w:val="auto"/>
                <w:highlight w:val="none"/>
                <w:u w:val="single"/>
                <w:lang w:val="en-US" w:eastAsia="zh-CN"/>
              </w:rPr>
              <w:t xml:space="preserve">  </w:t>
            </w:r>
            <w:r>
              <w:rPr>
                <w:rFonts w:hint="eastAsia"/>
                <w:color w:val="auto"/>
                <w:highlight w:val="none"/>
                <w:u w:val="single"/>
                <w:lang w:val="en-US" w:eastAsia="zh-CN"/>
              </w:rPr>
              <w:t xml:space="preserve"> </w:t>
            </w:r>
            <w:r>
              <w:rPr>
                <w:color w:val="auto"/>
                <w:highlight w:val="none"/>
                <w:u w:val="single"/>
                <w:lang w:val="en-US" w:eastAsia="zh-CN"/>
              </w:rPr>
              <w:t xml:space="preserve"> </w:t>
            </w:r>
            <w:r>
              <w:rPr>
                <w:color w:val="auto"/>
                <w:highlight w:val="none"/>
                <w:lang w:val="en-US" w:eastAsia="zh-CN"/>
              </w:rPr>
              <w:t>项，未完成</w:t>
            </w:r>
            <w:r>
              <w:rPr>
                <w:color w:val="auto"/>
                <w:highlight w:val="none"/>
                <w:u w:val="single"/>
                <w:lang w:val="en-US" w:eastAsia="zh-CN"/>
              </w:rPr>
              <w:t xml:space="preserve">    </w:t>
            </w:r>
            <w:r>
              <w:rPr>
                <w:color w:val="auto"/>
                <w:highlight w:val="none"/>
                <w:lang w:val="en-US" w:eastAsia="zh-CN"/>
              </w:rPr>
              <w:t>项。</w:t>
            </w:r>
          </w:p>
          <w:p w14:paraId="2F8EB17F">
            <w:pPr>
              <w:rPr>
                <w:rFonts w:hint="default"/>
                <w:color w:val="auto"/>
                <w:highlight w:val="none"/>
                <w:lang w:val="en-US" w:eastAsia="zh-CN"/>
              </w:rPr>
            </w:pPr>
            <w:r>
              <w:rPr>
                <w:rFonts w:hint="eastAsia"/>
                <w:color w:val="auto"/>
                <w:highlight w:val="none"/>
                <w:lang w:val="en-US" w:eastAsia="zh-CN"/>
              </w:rPr>
              <w:t>未完成的每项扣3分。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8D761A">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326E9E2F">
            <w:pPr>
              <w:rPr>
                <w:rFonts w:hint="default"/>
                <w:color w:val="auto"/>
                <w:highlight w:val="none"/>
              </w:rPr>
            </w:pPr>
          </w:p>
        </w:tc>
      </w:tr>
      <w:tr w14:paraId="64101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6B9441">
            <w:pPr>
              <w:jc w:val="center"/>
              <w:rPr>
                <w:rFonts w:hint="default"/>
                <w:color w:val="auto"/>
                <w:highlight w:val="none"/>
              </w:rPr>
            </w:pPr>
            <w:r>
              <w:rPr>
                <w:rFonts w:hint="eastAsia"/>
                <w:color w:val="auto"/>
                <w:highlight w:val="none"/>
                <w:lang w:val="en-US" w:eastAsia="zh-CN"/>
              </w:rPr>
              <w:t>3</w:t>
            </w:r>
          </w:p>
        </w:tc>
        <w:tc>
          <w:tcPr>
            <w:tcW w:w="1164" w:type="dxa"/>
            <w:vMerge w:val="restart"/>
            <w:tcBorders>
              <w:top w:val="nil"/>
              <w:left w:val="single" w:color="000000" w:sz="4" w:space="0"/>
              <w:bottom w:val="single" w:color="000000" w:sz="4" w:space="0"/>
              <w:right w:val="single" w:color="000000" w:sz="4" w:space="0"/>
            </w:tcBorders>
            <w:noWrap w:val="0"/>
            <w:vAlign w:val="center"/>
          </w:tcPr>
          <w:p w14:paraId="3C359399">
            <w:pPr>
              <w:rPr>
                <w:rFonts w:hint="default"/>
                <w:color w:val="auto"/>
                <w:highlight w:val="none"/>
              </w:rPr>
            </w:pPr>
            <w:r>
              <w:rPr>
                <w:color w:val="auto"/>
                <w:highlight w:val="none"/>
                <w:lang w:val="en-US" w:eastAsia="zh-CN"/>
              </w:rPr>
              <w:t>记录情况（20</w:t>
            </w:r>
            <w:r>
              <w:rPr>
                <w:rFonts w:hint="eastAsia"/>
                <w:color w:val="auto"/>
                <w:highlight w:val="none"/>
                <w:lang w:val="en-US" w:eastAsia="zh-CN"/>
              </w:rPr>
              <w:t>分）</w:t>
            </w: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36FC4E04">
            <w:pPr>
              <w:rPr>
                <w:rFonts w:hint="default"/>
                <w:color w:val="auto"/>
                <w:highlight w:val="none"/>
                <w:lang w:val="en-US"/>
              </w:rPr>
            </w:pPr>
            <w:r>
              <w:rPr>
                <w:color w:val="auto"/>
                <w:highlight w:val="none"/>
                <w:lang w:val="en-US" w:eastAsia="zh-CN"/>
              </w:rPr>
              <w:t>维修保养月度计划和月度报告是否均按规定时间递交。</w:t>
            </w:r>
            <w:r>
              <w:rPr>
                <w:rFonts w:hint="eastAsia"/>
                <w:color w:val="auto"/>
                <w:highlight w:val="none"/>
                <w:lang w:val="en-US" w:eastAsia="zh-CN"/>
              </w:rPr>
              <w:t>每迟交一次扣2分。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EFCC5B">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073F1FA3">
            <w:pPr>
              <w:rPr>
                <w:rFonts w:hint="default"/>
                <w:color w:val="auto"/>
                <w:highlight w:val="none"/>
              </w:rPr>
            </w:pPr>
          </w:p>
        </w:tc>
      </w:tr>
      <w:tr w14:paraId="4CD8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332BF">
            <w:pPr>
              <w:jc w:val="center"/>
              <w:rPr>
                <w:rFonts w:hint="default"/>
                <w:color w:val="auto"/>
                <w:highlight w:val="none"/>
              </w:rPr>
            </w:pPr>
          </w:p>
        </w:tc>
        <w:tc>
          <w:tcPr>
            <w:tcW w:w="1164" w:type="dxa"/>
            <w:vMerge w:val="continue"/>
            <w:tcBorders>
              <w:top w:val="nil"/>
              <w:left w:val="single" w:color="000000" w:sz="4" w:space="0"/>
              <w:bottom w:val="single" w:color="000000" w:sz="4" w:space="0"/>
              <w:right w:val="single" w:color="000000" w:sz="4" w:space="0"/>
            </w:tcBorders>
            <w:noWrap w:val="0"/>
            <w:vAlign w:val="center"/>
          </w:tcPr>
          <w:p w14:paraId="21EAEC85">
            <w:pPr>
              <w:rPr>
                <w:rFonts w:hint="default"/>
                <w:color w:val="auto"/>
                <w:highlight w:val="none"/>
              </w:rPr>
            </w:pP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329A70D9">
            <w:pPr>
              <w:rPr>
                <w:rFonts w:hint="default"/>
                <w:color w:val="auto"/>
                <w:highlight w:val="none"/>
                <w:lang w:val="en-US"/>
              </w:rPr>
            </w:pPr>
            <w:r>
              <w:rPr>
                <w:color w:val="auto"/>
                <w:highlight w:val="none"/>
                <w:lang w:val="en-US" w:eastAsia="zh-CN"/>
              </w:rPr>
              <w:t>保养记录与维修记录是否与相符，须与维保单形成闭环 。</w:t>
            </w:r>
            <w:r>
              <w:rPr>
                <w:rFonts w:hint="eastAsia"/>
                <w:color w:val="auto"/>
                <w:highlight w:val="none"/>
                <w:lang w:val="en-US" w:eastAsia="zh-CN"/>
              </w:rPr>
              <w:t>每出现一处扣2分。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4497F6">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7A9CBD3D">
            <w:pPr>
              <w:rPr>
                <w:rFonts w:hint="default"/>
                <w:color w:val="auto"/>
                <w:highlight w:val="none"/>
              </w:rPr>
            </w:pPr>
          </w:p>
        </w:tc>
      </w:tr>
      <w:tr w14:paraId="6EFC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E5B9A8">
            <w:pPr>
              <w:jc w:val="center"/>
              <w:rPr>
                <w:rFonts w:hint="default"/>
                <w:color w:val="auto"/>
                <w:highlight w:val="none"/>
              </w:rPr>
            </w:pPr>
            <w:r>
              <w:rPr>
                <w:rFonts w:hint="eastAsia"/>
                <w:color w:val="auto"/>
                <w:highlight w:val="none"/>
                <w:lang w:val="en-US" w:eastAsia="zh-CN"/>
              </w:rPr>
              <w:t>4</w:t>
            </w:r>
          </w:p>
        </w:tc>
        <w:tc>
          <w:tcPr>
            <w:tcW w:w="1164" w:type="dxa"/>
            <w:vMerge w:val="restart"/>
            <w:tcBorders>
              <w:top w:val="nil"/>
              <w:left w:val="single" w:color="000000" w:sz="4" w:space="0"/>
              <w:bottom w:val="single" w:color="000000" w:sz="4" w:space="0"/>
              <w:right w:val="single" w:color="000000" w:sz="4" w:space="0"/>
            </w:tcBorders>
            <w:noWrap w:val="0"/>
            <w:vAlign w:val="center"/>
          </w:tcPr>
          <w:p w14:paraId="64D09564">
            <w:pPr>
              <w:rPr>
                <w:rFonts w:hint="default"/>
                <w:color w:val="auto"/>
                <w:highlight w:val="none"/>
              </w:rPr>
            </w:pPr>
            <w:r>
              <w:rPr>
                <w:color w:val="auto"/>
                <w:highlight w:val="none"/>
                <w:lang w:val="en-US" w:eastAsia="zh-CN"/>
              </w:rPr>
              <w:t>故障处理情况（</w:t>
            </w:r>
            <w:r>
              <w:rPr>
                <w:rFonts w:hint="default"/>
                <w:color w:val="auto"/>
                <w:highlight w:val="none"/>
                <w:lang w:val="en-US" w:eastAsia="zh-CN"/>
              </w:rPr>
              <w:t>10</w:t>
            </w:r>
            <w:r>
              <w:rPr>
                <w:rFonts w:hint="eastAsia"/>
                <w:color w:val="auto"/>
                <w:highlight w:val="none"/>
                <w:lang w:val="en-US" w:eastAsia="zh-CN"/>
              </w:rPr>
              <w:t>分）</w:t>
            </w: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1EDC8FEF">
            <w:pPr>
              <w:rPr>
                <w:rFonts w:hint="default"/>
                <w:color w:val="auto"/>
                <w:highlight w:val="none"/>
                <w:lang w:val="en-US"/>
              </w:rPr>
            </w:pPr>
            <w:r>
              <w:rPr>
                <w:color w:val="auto"/>
                <w:highlight w:val="none"/>
                <w:lang w:val="en-US" w:eastAsia="zh-CN"/>
              </w:rPr>
              <w:t xml:space="preserve">应急事件进行处理时是否按规定2小时内到达现场进行排除。未按要求响应的次数：              </w:t>
            </w:r>
            <w:r>
              <w:rPr>
                <w:rFonts w:hint="eastAsia"/>
                <w:color w:val="auto"/>
                <w:highlight w:val="none"/>
                <w:lang w:val="en-US" w:eastAsia="zh-CN"/>
              </w:rPr>
              <w:t xml:space="preserve">        </w:t>
            </w:r>
            <w:r>
              <w:rPr>
                <w:color w:val="auto"/>
                <w:highlight w:val="none"/>
                <w:lang w:val="en-US" w:eastAsia="zh-CN"/>
              </w:rPr>
              <w:t>次 。</w:t>
            </w:r>
            <w:r>
              <w:rPr>
                <w:rFonts w:hint="eastAsia"/>
                <w:color w:val="auto"/>
                <w:highlight w:val="none"/>
                <w:lang w:val="en-US" w:eastAsia="zh-CN"/>
              </w:rPr>
              <w:t>每次扣3分。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8F3A732">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19D7151C">
            <w:pPr>
              <w:rPr>
                <w:rFonts w:hint="default"/>
                <w:color w:val="auto"/>
                <w:highlight w:val="none"/>
              </w:rPr>
            </w:pPr>
          </w:p>
        </w:tc>
      </w:tr>
      <w:tr w14:paraId="73FB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0B874">
            <w:pPr>
              <w:jc w:val="center"/>
              <w:rPr>
                <w:rFonts w:hint="default"/>
                <w:color w:val="auto"/>
                <w:highlight w:val="none"/>
              </w:rPr>
            </w:pPr>
          </w:p>
        </w:tc>
        <w:tc>
          <w:tcPr>
            <w:tcW w:w="1164" w:type="dxa"/>
            <w:vMerge w:val="continue"/>
            <w:tcBorders>
              <w:top w:val="nil"/>
              <w:left w:val="single" w:color="000000" w:sz="4" w:space="0"/>
              <w:bottom w:val="single" w:color="000000" w:sz="4" w:space="0"/>
              <w:right w:val="single" w:color="000000" w:sz="4" w:space="0"/>
            </w:tcBorders>
            <w:noWrap w:val="0"/>
            <w:vAlign w:val="center"/>
          </w:tcPr>
          <w:p w14:paraId="1672CECB">
            <w:pPr>
              <w:rPr>
                <w:rFonts w:hint="default"/>
                <w:color w:val="auto"/>
                <w:highlight w:val="none"/>
              </w:rPr>
            </w:pP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2679F1E4">
            <w:pPr>
              <w:rPr>
                <w:rFonts w:hint="default"/>
                <w:color w:val="auto"/>
                <w:highlight w:val="none"/>
                <w:lang w:val="en-US"/>
              </w:rPr>
            </w:pPr>
            <w:r>
              <w:rPr>
                <w:color w:val="auto"/>
                <w:highlight w:val="none"/>
                <w:lang w:val="en-US" w:eastAsia="zh-CN"/>
              </w:rPr>
              <w:t>消防系统出现故障时是否按规定24小时内修复故障，并保证设备的正常运行。未按要求响应的次数：</w:t>
            </w:r>
            <w:r>
              <w:rPr>
                <w:color w:val="auto"/>
                <w:highlight w:val="none"/>
                <w:u w:val="single"/>
                <w:lang w:val="en-US" w:eastAsia="zh-CN"/>
              </w:rPr>
              <w:t xml:space="preserve">        </w:t>
            </w:r>
            <w:r>
              <w:rPr>
                <w:color w:val="auto"/>
                <w:highlight w:val="none"/>
                <w:lang w:val="en-US" w:eastAsia="zh-CN"/>
              </w:rPr>
              <w:t>次 。</w:t>
            </w:r>
            <w:r>
              <w:rPr>
                <w:rFonts w:hint="eastAsia"/>
                <w:color w:val="auto"/>
                <w:highlight w:val="none"/>
                <w:lang w:val="en-US" w:eastAsia="zh-CN"/>
              </w:rPr>
              <w:t>每次扣2分。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0F7D26">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17FBDCD4">
            <w:pPr>
              <w:rPr>
                <w:rFonts w:hint="default"/>
                <w:color w:val="auto"/>
                <w:highlight w:val="none"/>
              </w:rPr>
            </w:pPr>
          </w:p>
        </w:tc>
      </w:tr>
      <w:tr w14:paraId="3BE7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0ED062">
            <w:pPr>
              <w:jc w:val="center"/>
              <w:rPr>
                <w:rFonts w:hint="default"/>
                <w:color w:val="auto"/>
                <w:highlight w:val="none"/>
              </w:rPr>
            </w:pPr>
            <w:r>
              <w:rPr>
                <w:rFonts w:hint="eastAsia"/>
                <w:color w:val="auto"/>
                <w:highlight w:val="none"/>
                <w:lang w:val="en-US" w:eastAsia="zh-CN"/>
              </w:rPr>
              <w:t>5</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14:paraId="70D4F9E8">
            <w:pPr>
              <w:rPr>
                <w:rFonts w:hint="default"/>
                <w:color w:val="auto"/>
                <w:highlight w:val="none"/>
              </w:rPr>
            </w:pPr>
            <w:r>
              <w:rPr>
                <w:rFonts w:hint="eastAsia"/>
                <w:color w:val="auto"/>
                <w:highlight w:val="none"/>
                <w:lang w:val="en-US" w:eastAsia="zh-CN"/>
              </w:rPr>
              <w:t>工作质量和</w:t>
            </w:r>
            <w:r>
              <w:rPr>
                <w:rFonts w:hint="default"/>
                <w:color w:val="auto"/>
                <w:highlight w:val="none"/>
                <w:lang w:val="en-US" w:eastAsia="zh-CN"/>
              </w:rPr>
              <w:t>纪律态度（</w:t>
            </w:r>
            <w:r>
              <w:rPr>
                <w:rFonts w:hint="eastAsia"/>
                <w:color w:val="auto"/>
                <w:highlight w:val="none"/>
                <w:lang w:val="en-US" w:eastAsia="zh-CN"/>
              </w:rPr>
              <w:t>3</w:t>
            </w:r>
            <w:r>
              <w:rPr>
                <w:rFonts w:hint="default"/>
                <w:color w:val="auto"/>
                <w:highlight w:val="none"/>
                <w:lang w:val="en-US" w:eastAsia="zh-CN"/>
              </w:rPr>
              <w:t>0分）</w:t>
            </w: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427E6E9B">
            <w:pPr>
              <w:rPr>
                <w:rFonts w:hint="default"/>
                <w:color w:val="auto"/>
                <w:highlight w:val="none"/>
                <w:lang w:val="en-US"/>
              </w:rPr>
            </w:pPr>
            <w:r>
              <w:rPr>
                <w:color w:val="auto"/>
                <w:highlight w:val="none"/>
                <w:lang w:val="en-US" w:eastAsia="zh-CN"/>
              </w:rPr>
              <w:t>维保人员是否持证上岗，是否积极配合，服务到位,及时完成各项维保工作任务。</w:t>
            </w:r>
            <w:r>
              <w:rPr>
                <w:rFonts w:hint="eastAsia"/>
                <w:color w:val="auto"/>
                <w:highlight w:val="none"/>
                <w:lang w:val="en-US" w:eastAsia="zh-CN"/>
              </w:rPr>
              <w:t>每次扣5分。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5463FA">
            <w:pPr>
              <w:rPr>
                <w:rFonts w:hint="eastAsia"/>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1874538E">
            <w:pPr>
              <w:rPr>
                <w:rFonts w:hint="default"/>
                <w:color w:val="auto"/>
                <w:highlight w:val="none"/>
              </w:rPr>
            </w:pPr>
          </w:p>
        </w:tc>
      </w:tr>
      <w:tr w14:paraId="4E9D6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05" w:type="dxa"/>
            <w:vMerge w:val="continue"/>
            <w:tcBorders>
              <w:left w:val="single" w:color="000000" w:sz="4" w:space="0"/>
              <w:right w:val="single" w:color="000000" w:sz="4" w:space="0"/>
            </w:tcBorders>
            <w:noWrap w:val="0"/>
            <w:vAlign w:val="center"/>
          </w:tcPr>
          <w:p w14:paraId="09E79F7D">
            <w:pPr>
              <w:jc w:val="center"/>
              <w:rPr>
                <w:rFonts w:hint="default"/>
                <w:color w:val="auto"/>
                <w:highlight w:val="none"/>
                <w:lang w:val="en-US" w:eastAsia="zh-CN"/>
              </w:rPr>
            </w:pPr>
          </w:p>
        </w:tc>
        <w:tc>
          <w:tcPr>
            <w:tcW w:w="1164" w:type="dxa"/>
            <w:vMerge w:val="continue"/>
            <w:tcBorders>
              <w:left w:val="single" w:color="000000" w:sz="4" w:space="0"/>
              <w:right w:val="single" w:color="000000" w:sz="4" w:space="0"/>
            </w:tcBorders>
            <w:noWrap w:val="0"/>
            <w:vAlign w:val="center"/>
          </w:tcPr>
          <w:p w14:paraId="69A9D576">
            <w:pPr>
              <w:rPr>
                <w:rFonts w:hint="default"/>
                <w:color w:val="auto"/>
                <w:highlight w:val="none"/>
                <w:lang w:val="en-US" w:eastAsia="zh-CN"/>
              </w:rPr>
            </w:pP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11E2FD0F">
            <w:pPr>
              <w:rPr>
                <w:rFonts w:hint="default"/>
                <w:color w:val="auto"/>
                <w:highlight w:val="none"/>
                <w:lang w:val="en-US" w:eastAsia="zh-CN"/>
              </w:rPr>
            </w:pPr>
            <w:r>
              <w:rPr>
                <w:rFonts w:hint="eastAsia"/>
                <w:color w:val="auto"/>
                <w:highlight w:val="none"/>
                <w:lang w:val="en-US" w:eastAsia="zh-CN"/>
              </w:rPr>
              <w:t>维保人员在工作过程中是否存在不按要求执行的情况。每次扣3分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7393AE">
            <w:pPr>
              <w:rPr>
                <w:rFonts w:hint="eastAsia"/>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3DDC6A49">
            <w:pPr>
              <w:rPr>
                <w:rFonts w:hint="default"/>
                <w:color w:val="auto"/>
                <w:highlight w:val="none"/>
              </w:rPr>
            </w:pPr>
          </w:p>
        </w:tc>
      </w:tr>
      <w:tr w14:paraId="227E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6C0C2">
            <w:pPr>
              <w:jc w:val="center"/>
              <w:rPr>
                <w:rFonts w:hint="default"/>
                <w:color w:val="auto"/>
                <w:highlight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869F4">
            <w:pPr>
              <w:rPr>
                <w:rFonts w:hint="default"/>
                <w:color w:val="auto"/>
                <w:highlight w:val="none"/>
              </w:rPr>
            </w:pP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2AFE9150">
            <w:pPr>
              <w:rPr>
                <w:color w:val="auto"/>
                <w:highlight w:val="none"/>
              </w:rPr>
            </w:pPr>
            <w:r>
              <w:rPr>
                <w:color w:val="auto"/>
                <w:highlight w:val="none"/>
                <w:lang w:val="en-US" w:eastAsia="zh-CN"/>
              </w:rPr>
              <w:t>维保过程中是否有被患者/职工/科室/医院投诉记录。</w:t>
            </w:r>
            <w:r>
              <w:rPr>
                <w:rFonts w:hint="eastAsia"/>
                <w:color w:val="auto"/>
                <w:highlight w:val="none"/>
                <w:lang w:val="en-US" w:eastAsia="zh-CN"/>
              </w:rPr>
              <w:t>每次扣2分。</w:t>
            </w:r>
            <w:r>
              <w:rPr>
                <w:color w:val="auto"/>
                <w:highlight w:val="none"/>
                <w:lang w:val="en-US" w:eastAsia="zh-CN"/>
              </w:rPr>
              <w:br w:type="textWrapping"/>
            </w:r>
            <w:r>
              <w:rPr>
                <w:color w:val="auto"/>
                <w:highlight w:val="none"/>
                <w:lang w:val="en-US" w:eastAsia="zh-CN"/>
              </w:rPr>
              <w:t>投诉次数：</w:t>
            </w:r>
            <w:r>
              <w:rPr>
                <w:color w:val="auto"/>
                <w:highlight w:val="none"/>
                <w:u w:val="single"/>
                <w:lang w:val="en-US" w:eastAsia="zh-CN"/>
              </w:rPr>
              <w:t xml:space="preserve">      </w:t>
            </w:r>
            <w:r>
              <w:rPr>
                <w:color w:val="auto"/>
                <w:highlight w:val="none"/>
                <w:lang w:val="en-US" w:eastAsia="zh-CN"/>
              </w:rPr>
              <w:t xml:space="preserve"> 次</w:t>
            </w:r>
          </w:p>
        </w:tc>
        <w:tc>
          <w:tcPr>
            <w:tcW w:w="1320" w:type="dxa"/>
            <w:tcBorders>
              <w:top w:val="single" w:color="000000" w:sz="4" w:space="0"/>
              <w:left w:val="single" w:color="000000" w:sz="4" w:space="0"/>
              <w:bottom w:val="single" w:color="000000" w:sz="4" w:space="0"/>
              <w:right w:val="single" w:color="000000" w:sz="4" w:space="0"/>
            </w:tcBorders>
            <w:noWrap w:val="0"/>
            <w:vAlign w:val="bottom"/>
          </w:tcPr>
          <w:p w14:paraId="48C6E1BB">
            <w:pPr>
              <w:rPr>
                <w:rFonts w:hint="eastAsia"/>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0F9B0277">
            <w:pPr>
              <w:rPr>
                <w:rFonts w:hint="default"/>
                <w:color w:val="auto"/>
                <w:highlight w:val="none"/>
              </w:rPr>
            </w:pPr>
          </w:p>
        </w:tc>
      </w:tr>
      <w:tr w14:paraId="0041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5" w:type="dxa"/>
            <w:vMerge w:val="restart"/>
            <w:tcBorders>
              <w:top w:val="single" w:color="000000" w:sz="4" w:space="0"/>
              <w:left w:val="single" w:color="000000" w:sz="4" w:space="0"/>
              <w:bottom w:val="nil"/>
              <w:right w:val="single" w:color="000000" w:sz="4" w:space="0"/>
            </w:tcBorders>
            <w:noWrap w:val="0"/>
            <w:vAlign w:val="center"/>
          </w:tcPr>
          <w:p w14:paraId="3F432A14">
            <w:pPr>
              <w:jc w:val="center"/>
              <w:rPr>
                <w:rFonts w:hint="default"/>
                <w:color w:val="auto"/>
                <w:highlight w:val="none"/>
              </w:rPr>
            </w:pPr>
            <w:r>
              <w:rPr>
                <w:rFonts w:hint="eastAsia"/>
                <w:color w:val="auto"/>
                <w:highlight w:val="none"/>
                <w:lang w:val="en-US" w:eastAsia="zh-CN"/>
              </w:rPr>
              <w:t>6</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14:paraId="1C1E3077">
            <w:pPr>
              <w:rPr>
                <w:color w:val="auto"/>
                <w:highlight w:val="none"/>
              </w:rPr>
            </w:pPr>
            <w:r>
              <w:rPr>
                <w:color w:val="auto"/>
                <w:highlight w:val="none"/>
                <w:lang w:val="en-US" w:eastAsia="zh-CN"/>
              </w:rPr>
              <w:t>本</w:t>
            </w:r>
            <w:r>
              <w:rPr>
                <w:rFonts w:hint="eastAsia"/>
                <w:color w:val="auto"/>
                <w:highlight w:val="none"/>
                <w:lang w:val="en-US" w:eastAsia="zh-CN"/>
              </w:rPr>
              <w:t>月</w:t>
            </w:r>
            <w:r>
              <w:rPr>
                <w:color w:val="auto"/>
                <w:highlight w:val="none"/>
                <w:lang w:val="en-US" w:eastAsia="zh-CN"/>
              </w:rPr>
              <w:t>度维保服务质量考核结果</w:t>
            </w: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4409C01F">
            <w:pPr>
              <w:rPr>
                <w:rFonts w:hint="default"/>
                <w:color w:val="auto"/>
                <w:highlight w:val="none"/>
              </w:rPr>
            </w:pPr>
          </w:p>
        </w:tc>
      </w:tr>
      <w:tr w14:paraId="012B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5" w:type="dxa"/>
            <w:vMerge w:val="continue"/>
            <w:tcBorders>
              <w:top w:val="single" w:color="000000" w:sz="4" w:space="0"/>
              <w:left w:val="single" w:color="000000" w:sz="4" w:space="0"/>
              <w:bottom w:val="nil"/>
              <w:right w:val="single" w:color="000000" w:sz="4" w:space="0"/>
            </w:tcBorders>
            <w:noWrap w:val="0"/>
            <w:vAlign w:val="center"/>
          </w:tcPr>
          <w:p w14:paraId="52C82784">
            <w:pPr>
              <w:jc w:val="center"/>
              <w:rPr>
                <w:rFonts w:hint="default"/>
                <w:color w:val="auto"/>
                <w:highlight w:val="none"/>
              </w:rPr>
            </w:pPr>
          </w:p>
        </w:tc>
        <w:tc>
          <w:tcPr>
            <w:tcW w:w="7865" w:type="dxa"/>
            <w:gridSpan w:val="4"/>
            <w:tcBorders>
              <w:top w:val="single" w:color="000000" w:sz="4" w:space="0"/>
              <w:left w:val="single" w:color="000000" w:sz="4" w:space="0"/>
              <w:bottom w:val="single" w:color="000000" w:sz="4" w:space="0"/>
              <w:right w:val="single" w:color="000000" w:sz="4" w:space="0"/>
            </w:tcBorders>
            <w:noWrap w:val="0"/>
            <w:vAlign w:val="center"/>
          </w:tcPr>
          <w:p w14:paraId="6F5F2C73">
            <w:pPr>
              <w:rPr>
                <w:color w:val="auto"/>
                <w:highlight w:val="none"/>
              </w:rPr>
            </w:pPr>
            <w:r>
              <w:rPr>
                <w:color w:val="auto"/>
                <w:highlight w:val="none"/>
                <w:lang w:val="en-US" w:eastAsia="zh-CN"/>
              </w:rPr>
              <w:t>考核人员签名：</w:t>
            </w:r>
          </w:p>
        </w:tc>
      </w:tr>
      <w:tr w14:paraId="7ADF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154A9B0">
            <w:pPr>
              <w:jc w:val="center"/>
              <w:rPr>
                <w:rFonts w:hint="default"/>
                <w:color w:val="auto"/>
                <w:highlight w:val="none"/>
              </w:rPr>
            </w:pPr>
            <w:r>
              <w:rPr>
                <w:rFonts w:hint="eastAsia"/>
                <w:color w:val="auto"/>
                <w:highlight w:val="none"/>
                <w:lang w:val="en-US" w:eastAsia="zh-CN"/>
              </w:rPr>
              <w:t>7</w:t>
            </w:r>
          </w:p>
        </w:tc>
        <w:tc>
          <w:tcPr>
            <w:tcW w:w="7865" w:type="dxa"/>
            <w:gridSpan w:val="4"/>
            <w:tcBorders>
              <w:top w:val="single" w:color="000000" w:sz="4" w:space="0"/>
              <w:left w:val="nil"/>
              <w:bottom w:val="single" w:color="000000" w:sz="4" w:space="0"/>
              <w:right w:val="single" w:color="000000" w:sz="4" w:space="0"/>
            </w:tcBorders>
            <w:noWrap w:val="0"/>
            <w:vAlign w:val="center"/>
          </w:tcPr>
          <w:p w14:paraId="0D6CC19A">
            <w:pPr>
              <w:rPr>
                <w:color w:val="auto"/>
                <w:highlight w:val="none"/>
              </w:rPr>
            </w:pPr>
            <w:r>
              <w:rPr>
                <w:color w:val="auto"/>
                <w:highlight w:val="none"/>
                <w:lang w:val="en-US" w:eastAsia="zh-CN"/>
              </w:rPr>
              <w:t>备注：满分为100分。说明：服务综合评价结果</w:t>
            </w:r>
            <w:r>
              <w:rPr>
                <w:color w:val="auto"/>
                <w:highlight w:val="none"/>
                <w:lang w:val="en-US" w:eastAsia="zh-CN"/>
              </w:rPr>
              <w:br w:type="textWrapping"/>
            </w:r>
            <w:r>
              <w:rPr>
                <w:color w:val="auto"/>
                <w:highlight w:val="none"/>
                <w:lang w:val="en-US" w:eastAsia="zh-CN"/>
              </w:rPr>
              <w:t>□ 优秀 （90分以上，含90分）</w:t>
            </w:r>
            <w:r>
              <w:rPr>
                <w:color w:val="auto"/>
                <w:highlight w:val="none"/>
                <w:lang w:val="en-US" w:eastAsia="zh-CN"/>
              </w:rPr>
              <w:br w:type="textWrapping"/>
            </w:r>
            <w:r>
              <w:rPr>
                <w:color w:val="auto"/>
                <w:highlight w:val="none"/>
                <w:lang w:val="en-US" w:eastAsia="zh-CN"/>
              </w:rPr>
              <w:t>□ 良好 （85～90分，含85分）</w:t>
            </w:r>
            <w:r>
              <w:rPr>
                <w:color w:val="auto"/>
                <w:highlight w:val="none"/>
                <w:lang w:val="en-US" w:eastAsia="zh-CN"/>
              </w:rPr>
              <w:br w:type="textWrapping"/>
            </w:r>
            <w:r>
              <w:rPr>
                <w:color w:val="auto"/>
                <w:highlight w:val="none"/>
                <w:lang w:val="en-US" w:eastAsia="zh-CN"/>
              </w:rPr>
              <w:t>□ 一般 （80～85分，含80分）</w:t>
            </w:r>
            <w:r>
              <w:rPr>
                <w:color w:val="auto"/>
                <w:highlight w:val="none"/>
                <w:lang w:val="en-US" w:eastAsia="zh-CN"/>
              </w:rPr>
              <w:br w:type="textWrapping"/>
            </w:r>
            <w:r>
              <w:rPr>
                <w:color w:val="auto"/>
                <w:highlight w:val="none"/>
                <w:lang w:val="en-US" w:eastAsia="zh-CN"/>
              </w:rPr>
              <w:t>□ 不合格（80分以下）（扣服务费=年度服务总费×（</w:t>
            </w:r>
            <w:r>
              <w:rPr>
                <w:rFonts w:hint="eastAsia"/>
                <w:color w:val="auto"/>
                <w:highlight w:val="none"/>
                <w:lang w:val="en-US" w:eastAsia="zh-CN"/>
              </w:rPr>
              <w:t>10</w:t>
            </w:r>
            <w:r>
              <w:rPr>
                <w:color w:val="auto"/>
                <w:highlight w:val="none"/>
                <w:lang w:val="en-US" w:eastAsia="zh-CN"/>
              </w:rPr>
              <w:t>0-</w:t>
            </w:r>
            <w:r>
              <w:rPr>
                <w:rFonts w:hint="eastAsia"/>
                <w:color w:val="auto"/>
                <w:highlight w:val="none"/>
                <w:lang w:val="en-US" w:eastAsia="zh-CN"/>
              </w:rPr>
              <w:t>月</w:t>
            </w:r>
            <w:r>
              <w:rPr>
                <w:color w:val="auto"/>
                <w:highlight w:val="none"/>
                <w:lang w:val="en-US" w:eastAsia="zh-CN"/>
              </w:rPr>
              <w:t>度考核分值）%</w:t>
            </w:r>
            <w:r>
              <w:rPr>
                <w:color w:val="auto"/>
                <w:highlight w:val="none"/>
                <w:lang w:val="en-US" w:eastAsia="zh-CN"/>
              </w:rPr>
              <w:br w:type="textWrapping"/>
            </w:r>
            <w:r>
              <w:rPr>
                <w:color w:val="auto"/>
                <w:highlight w:val="none"/>
                <w:lang w:val="en-US" w:eastAsia="zh-CN"/>
              </w:rPr>
              <w:t>如有重大工作失误或违约行为，院方有权扣除全部服务费，但并不排除按合同条款作出相应处理。</w:t>
            </w:r>
          </w:p>
        </w:tc>
      </w:tr>
    </w:tbl>
    <w:p w14:paraId="2789E01C"/>
    <w:p w14:paraId="72BD4136">
      <w:pPr>
        <w:rPr>
          <w:rFonts w:hint="eastAsia"/>
        </w:rPr>
      </w:pPr>
    </w:p>
    <w:p w14:paraId="4E16525C">
      <w:pPr>
        <w:adjustRightInd w:val="0"/>
        <w:snapToGrid w:val="0"/>
        <w:spacing w:line="480" w:lineRule="auto"/>
        <w:rPr>
          <w:rFonts w:hint="eastAsia" w:eastAsia="宋体"/>
          <w:b/>
          <w:color w:val="auto"/>
          <w:szCs w:val="21"/>
          <w:highlight w:val="none"/>
          <w:lang w:val="en-US" w:eastAsia="zh-CN"/>
        </w:rPr>
      </w:pPr>
      <w:r>
        <w:rPr>
          <w:rFonts w:hint="eastAsia"/>
          <w:b/>
          <w:color w:val="auto"/>
          <w:szCs w:val="21"/>
          <w:highlight w:val="none"/>
        </w:rPr>
        <w:t>附件</w:t>
      </w:r>
      <w:r>
        <w:rPr>
          <w:rFonts w:hint="eastAsia"/>
          <w:b/>
          <w:color w:val="auto"/>
          <w:szCs w:val="21"/>
          <w:highlight w:val="none"/>
          <w:lang w:val="en-US" w:eastAsia="zh-CN"/>
        </w:rPr>
        <w:t>2</w:t>
      </w:r>
    </w:p>
    <w:p w14:paraId="263E4A49">
      <w:pPr>
        <w:spacing w:line="36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消防维保服务</w:t>
      </w:r>
      <w:r>
        <w:rPr>
          <w:rFonts w:hint="eastAsia" w:ascii="宋体" w:hAnsi="宋体"/>
          <w:b/>
          <w:color w:val="auto"/>
          <w:sz w:val="28"/>
          <w:szCs w:val="28"/>
          <w:highlight w:val="none"/>
          <w:lang w:eastAsia="zh-CN"/>
        </w:rPr>
        <w:t>年度</w:t>
      </w:r>
      <w:r>
        <w:rPr>
          <w:rFonts w:hint="eastAsia" w:ascii="宋体" w:hAnsi="宋体"/>
          <w:b/>
          <w:color w:val="auto"/>
          <w:sz w:val="28"/>
          <w:szCs w:val="28"/>
          <w:highlight w:val="none"/>
        </w:rPr>
        <w:t>考核</w:t>
      </w:r>
      <w:r>
        <w:rPr>
          <w:rFonts w:hint="eastAsia" w:ascii="宋体" w:hAnsi="宋体"/>
          <w:b/>
          <w:color w:val="auto"/>
          <w:sz w:val="28"/>
          <w:szCs w:val="28"/>
          <w:highlight w:val="none"/>
          <w:lang w:eastAsia="zh-CN"/>
        </w:rPr>
        <w:t>评价</w:t>
      </w:r>
    </w:p>
    <w:p w14:paraId="2A054F2A">
      <w:pPr>
        <w:ind w:firstLine="4830"/>
        <w:rPr>
          <w:rFonts w:ascii="宋体" w:hAnsi="宋体"/>
          <w:color w:val="auto"/>
          <w:szCs w:val="21"/>
          <w:highlight w:val="none"/>
        </w:rPr>
      </w:pPr>
    </w:p>
    <w:tbl>
      <w:tblPr>
        <w:tblStyle w:val="7"/>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
        <w:gridCol w:w="982"/>
        <w:gridCol w:w="1268"/>
        <w:gridCol w:w="3709"/>
        <w:gridCol w:w="2130"/>
      </w:tblGrid>
      <w:tr w14:paraId="35EA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70" w:type="dxa"/>
            <w:gridSpan w:val="5"/>
            <w:tcBorders>
              <w:top w:val="nil"/>
              <w:left w:val="nil"/>
              <w:bottom w:val="single" w:color="auto" w:sz="4" w:space="0"/>
              <w:right w:val="nil"/>
            </w:tcBorders>
            <w:noWrap w:val="0"/>
            <w:vAlign w:val="center"/>
          </w:tcPr>
          <w:p w14:paraId="0CB5DB57">
            <w:pPr>
              <w:jc w:val="center"/>
              <w:rPr>
                <w:rFonts w:hint="eastAsia"/>
                <w:color w:val="auto"/>
                <w:highlight w:val="none"/>
              </w:rPr>
            </w:pPr>
            <w:r>
              <w:rPr>
                <w:rFonts w:hint="eastAsia"/>
                <w:color w:val="auto"/>
                <w:sz w:val="28"/>
                <w:szCs w:val="36"/>
                <w:highlight w:val="none"/>
                <w:lang w:val="en-US" w:eastAsia="zh-CN"/>
              </w:rPr>
              <w:t>消防维保服务考核表</w:t>
            </w:r>
          </w:p>
        </w:tc>
      </w:tr>
      <w:tr w14:paraId="7D15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70" w:type="dxa"/>
            <w:gridSpan w:val="5"/>
            <w:tcBorders>
              <w:top w:val="single" w:color="auto" w:sz="4" w:space="0"/>
              <w:left w:val="single" w:color="auto" w:sz="4" w:space="0"/>
              <w:bottom w:val="single" w:color="auto" w:sz="4" w:space="0"/>
              <w:right w:val="single" w:color="auto" w:sz="4" w:space="0"/>
            </w:tcBorders>
            <w:noWrap w:val="0"/>
            <w:vAlign w:val="center"/>
          </w:tcPr>
          <w:p w14:paraId="7C9D3AEB">
            <w:pPr>
              <w:rPr>
                <w:rFonts w:hint="eastAsia"/>
                <w:color w:val="auto"/>
                <w:highlight w:val="none"/>
              </w:rPr>
            </w:pPr>
            <w:r>
              <w:rPr>
                <w:rFonts w:hint="eastAsia"/>
                <w:color w:val="auto"/>
                <w:highlight w:val="none"/>
                <w:lang w:val="en-US" w:eastAsia="zh-CN"/>
              </w:rPr>
              <w:t>考核单位：                   被考核公司：               考核时间：</w:t>
            </w:r>
          </w:p>
        </w:tc>
      </w:tr>
      <w:tr w14:paraId="3A25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54C45F11">
            <w:pPr>
              <w:rPr>
                <w:color w:val="auto"/>
                <w:highlight w:val="none"/>
              </w:rPr>
            </w:pPr>
            <w:r>
              <w:rPr>
                <w:rFonts w:hint="default"/>
                <w:color w:val="auto"/>
                <w:highlight w:val="none"/>
                <w:lang w:val="en-US" w:eastAsia="zh-CN"/>
              </w:rPr>
              <w:t>序号</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3E85818F">
            <w:pPr>
              <w:jc w:val="center"/>
              <w:rPr>
                <w:rFonts w:hint="default"/>
                <w:color w:val="auto"/>
                <w:highlight w:val="none"/>
              </w:rPr>
            </w:pPr>
            <w:r>
              <w:rPr>
                <w:rFonts w:hint="eastAsia"/>
                <w:color w:val="auto"/>
                <w:highlight w:val="none"/>
                <w:lang w:val="en-US" w:eastAsia="zh-CN"/>
              </w:rPr>
              <w:t>考核人</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316F7DBE">
            <w:pPr>
              <w:jc w:val="center"/>
              <w:rPr>
                <w:rFonts w:hint="default"/>
                <w:color w:val="auto"/>
                <w:highlight w:val="none"/>
              </w:rPr>
            </w:pPr>
            <w:r>
              <w:rPr>
                <w:rFonts w:hint="eastAsia"/>
                <w:color w:val="auto"/>
                <w:highlight w:val="none"/>
                <w:lang w:val="en-US" w:eastAsia="zh-CN"/>
              </w:rPr>
              <w:t>考核部门</w:t>
            </w:r>
          </w:p>
        </w:tc>
        <w:tc>
          <w:tcPr>
            <w:tcW w:w="3709" w:type="dxa"/>
            <w:tcBorders>
              <w:top w:val="single" w:color="auto" w:sz="4" w:space="0"/>
              <w:left w:val="single" w:color="auto" w:sz="4" w:space="0"/>
              <w:bottom w:val="single" w:color="auto" w:sz="4" w:space="0"/>
              <w:right w:val="single" w:color="auto" w:sz="4" w:space="0"/>
            </w:tcBorders>
            <w:noWrap w:val="0"/>
            <w:vAlign w:val="center"/>
          </w:tcPr>
          <w:p w14:paraId="523DE491">
            <w:pPr>
              <w:jc w:val="center"/>
              <w:rPr>
                <w:rFonts w:hint="eastAsia" w:eastAsia="宋体"/>
                <w:color w:val="auto"/>
                <w:highlight w:val="none"/>
                <w:lang w:eastAsia="zh-CN"/>
              </w:rPr>
            </w:pPr>
            <w:r>
              <w:rPr>
                <w:rFonts w:hint="eastAsia"/>
                <w:color w:val="auto"/>
                <w:highlight w:val="none"/>
                <w:lang w:val="en-US" w:eastAsia="zh-CN"/>
              </w:rPr>
              <w:t>考核成绩</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6774658A">
            <w:pPr>
              <w:jc w:val="center"/>
              <w:rPr>
                <w:rFonts w:hint="default"/>
                <w:color w:val="auto"/>
                <w:highlight w:val="none"/>
              </w:rPr>
            </w:pPr>
            <w:r>
              <w:rPr>
                <w:rFonts w:hint="default"/>
                <w:color w:val="auto"/>
                <w:highlight w:val="none"/>
                <w:lang w:val="en-US" w:eastAsia="zh-CN"/>
              </w:rPr>
              <w:t>备注</w:t>
            </w:r>
          </w:p>
        </w:tc>
      </w:tr>
      <w:tr w14:paraId="461D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481" w:type="dxa"/>
            <w:tcBorders>
              <w:top w:val="single" w:color="auto" w:sz="4" w:space="0"/>
              <w:left w:val="single" w:color="000000" w:sz="4" w:space="0"/>
              <w:bottom w:val="single" w:color="auto" w:sz="4" w:space="0"/>
              <w:right w:val="single" w:color="000000" w:sz="4" w:space="0"/>
            </w:tcBorders>
            <w:noWrap w:val="0"/>
            <w:vAlign w:val="center"/>
          </w:tcPr>
          <w:p w14:paraId="08FA6280">
            <w:pPr>
              <w:jc w:val="center"/>
              <w:rPr>
                <w:rFonts w:hint="default"/>
                <w:color w:val="auto"/>
                <w:highlight w:val="none"/>
              </w:rPr>
            </w:pPr>
            <w:r>
              <w:rPr>
                <w:rFonts w:hint="default"/>
                <w:color w:val="auto"/>
                <w:highlight w:val="none"/>
                <w:lang w:val="en-US" w:eastAsia="zh-CN"/>
              </w:rPr>
              <w:t>1</w:t>
            </w:r>
          </w:p>
        </w:tc>
        <w:tc>
          <w:tcPr>
            <w:tcW w:w="982" w:type="dxa"/>
            <w:tcBorders>
              <w:top w:val="single" w:color="auto" w:sz="4" w:space="0"/>
              <w:left w:val="single" w:color="000000" w:sz="4" w:space="0"/>
              <w:bottom w:val="single" w:color="auto" w:sz="4" w:space="0"/>
              <w:right w:val="single" w:color="000000" w:sz="4" w:space="0"/>
            </w:tcBorders>
            <w:noWrap w:val="0"/>
            <w:vAlign w:val="center"/>
          </w:tcPr>
          <w:p w14:paraId="215949F1">
            <w:pPr>
              <w:rPr>
                <w:rFonts w:hint="default"/>
                <w:color w:val="auto"/>
                <w:highlight w:val="none"/>
              </w:rPr>
            </w:pPr>
          </w:p>
        </w:tc>
        <w:tc>
          <w:tcPr>
            <w:tcW w:w="1268" w:type="dxa"/>
            <w:tcBorders>
              <w:top w:val="single" w:color="auto" w:sz="4" w:space="0"/>
              <w:left w:val="single" w:color="000000" w:sz="4" w:space="0"/>
              <w:bottom w:val="single" w:color="auto" w:sz="4" w:space="0"/>
              <w:right w:val="single" w:color="auto" w:sz="4" w:space="0"/>
            </w:tcBorders>
            <w:noWrap w:val="0"/>
            <w:vAlign w:val="center"/>
          </w:tcPr>
          <w:p w14:paraId="7C695350">
            <w:pPr>
              <w:rPr>
                <w:color w:val="auto"/>
                <w:highlight w:val="none"/>
              </w:rPr>
            </w:pPr>
          </w:p>
        </w:tc>
        <w:tc>
          <w:tcPr>
            <w:tcW w:w="3709" w:type="dxa"/>
            <w:tcBorders>
              <w:top w:val="single" w:color="auto" w:sz="4" w:space="0"/>
              <w:left w:val="single" w:color="auto" w:sz="4" w:space="0"/>
              <w:bottom w:val="single" w:color="auto" w:sz="4" w:space="0"/>
              <w:right w:val="single" w:color="000000" w:sz="4" w:space="0"/>
            </w:tcBorders>
            <w:noWrap w:val="0"/>
            <w:vAlign w:val="center"/>
          </w:tcPr>
          <w:p w14:paraId="58E6AE4C">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auto" w:sz="4" w:space="0"/>
              <w:right w:val="single" w:color="000000" w:sz="4" w:space="0"/>
            </w:tcBorders>
            <w:noWrap w:val="0"/>
            <w:vAlign w:val="top"/>
          </w:tcPr>
          <w:p w14:paraId="65EFF37E">
            <w:pPr>
              <w:rPr>
                <w:rFonts w:hint="default"/>
                <w:color w:val="auto"/>
                <w:highlight w:val="none"/>
              </w:rPr>
            </w:pPr>
          </w:p>
        </w:tc>
      </w:tr>
      <w:tr w14:paraId="5A696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481" w:type="dxa"/>
            <w:tcBorders>
              <w:top w:val="single" w:color="auto" w:sz="4" w:space="0"/>
              <w:left w:val="single" w:color="000000" w:sz="4" w:space="0"/>
              <w:bottom w:val="single" w:color="000000" w:sz="4" w:space="0"/>
              <w:right w:val="single" w:color="000000" w:sz="4" w:space="0"/>
            </w:tcBorders>
            <w:noWrap w:val="0"/>
            <w:vAlign w:val="center"/>
          </w:tcPr>
          <w:p w14:paraId="04C3FCAB">
            <w:pPr>
              <w:jc w:val="center"/>
              <w:rPr>
                <w:rFonts w:hint="default"/>
                <w:color w:val="auto"/>
                <w:highlight w:val="none"/>
                <w:lang w:val="en-US" w:eastAsia="zh-CN"/>
              </w:rPr>
            </w:pPr>
            <w:r>
              <w:rPr>
                <w:rFonts w:hint="eastAsia"/>
                <w:color w:val="auto"/>
                <w:highlight w:val="none"/>
                <w:lang w:val="en-US" w:eastAsia="zh-CN"/>
              </w:rPr>
              <w:t>2</w:t>
            </w:r>
          </w:p>
        </w:tc>
        <w:tc>
          <w:tcPr>
            <w:tcW w:w="982" w:type="dxa"/>
            <w:tcBorders>
              <w:top w:val="single" w:color="auto" w:sz="4" w:space="0"/>
              <w:left w:val="single" w:color="000000" w:sz="4" w:space="0"/>
              <w:bottom w:val="single" w:color="000000" w:sz="4" w:space="0"/>
              <w:right w:val="single" w:color="000000" w:sz="4" w:space="0"/>
            </w:tcBorders>
            <w:noWrap w:val="0"/>
            <w:vAlign w:val="center"/>
          </w:tcPr>
          <w:p w14:paraId="16443B90">
            <w:pPr>
              <w:rPr>
                <w:rFonts w:hint="default"/>
                <w:color w:val="auto"/>
                <w:highlight w:val="none"/>
              </w:rPr>
            </w:pPr>
          </w:p>
        </w:tc>
        <w:tc>
          <w:tcPr>
            <w:tcW w:w="1268" w:type="dxa"/>
            <w:tcBorders>
              <w:top w:val="single" w:color="auto" w:sz="4" w:space="0"/>
              <w:left w:val="single" w:color="000000" w:sz="4" w:space="0"/>
              <w:bottom w:val="single" w:color="000000" w:sz="4" w:space="0"/>
              <w:right w:val="single" w:color="auto" w:sz="4" w:space="0"/>
            </w:tcBorders>
            <w:noWrap w:val="0"/>
            <w:vAlign w:val="center"/>
          </w:tcPr>
          <w:p w14:paraId="61672C3B">
            <w:pPr>
              <w:rPr>
                <w:color w:val="auto"/>
                <w:highlight w:val="none"/>
              </w:rPr>
            </w:pPr>
          </w:p>
        </w:tc>
        <w:tc>
          <w:tcPr>
            <w:tcW w:w="3709" w:type="dxa"/>
            <w:tcBorders>
              <w:top w:val="single" w:color="auto" w:sz="4" w:space="0"/>
              <w:left w:val="single" w:color="auto" w:sz="4" w:space="0"/>
              <w:bottom w:val="single" w:color="000000" w:sz="4" w:space="0"/>
              <w:right w:val="single" w:color="000000" w:sz="4" w:space="0"/>
            </w:tcBorders>
            <w:noWrap w:val="0"/>
            <w:vAlign w:val="center"/>
          </w:tcPr>
          <w:p w14:paraId="0D2C20C4">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000000" w:sz="4" w:space="0"/>
              <w:right w:val="single" w:color="000000" w:sz="4" w:space="0"/>
            </w:tcBorders>
            <w:noWrap w:val="0"/>
            <w:vAlign w:val="top"/>
          </w:tcPr>
          <w:p w14:paraId="0A97E74B">
            <w:pPr>
              <w:rPr>
                <w:rFonts w:hint="default"/>
                <w:color w:val="auto"/>
                <w:highlight w:val="none"/>
              </w:rPr>
            </w:pPr>
          </w:p>
        </w:tc>
      </w:tr>
      <w:tr w14:paraId="1D1B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481" w:type="dxa"/>
            <w:tcBorders>
              <w:top w:val="single" w:color="000000" w:sz="4" w:space="0"/>
              <w:left w:val="single" w:color="000000" w:sz="4" w:space="0"/>
              <w:bottom w:val="single" w:color="auto" w:sz="4" w:space="0"/>
              <w:right w:val="single" w:color="000000" w:sz="4" w:space="0"/>
            </w:tcBorders>
            <w:noWrap w:val="0"/>
            <w:vAlign w:val="center"/>
          </w:tcPr>
          <w:p w14:paraId="7A9639F8">
            <w:pPr>
              <w:jc w:val="center"/>
              <w:rPr>
                <w:color w:val="auto"/>
                <w:highlight w:val="none"/>
              </w:rPr>
            </w:pPr>
            <w:r>
              <w:rPr>
                <w:rFonts w:hint="eastAsia"/>
                <w:color w:val="auto"/>
                <w:highlight w:val="none"/>
                <w:lang w:val="en-US" w:eastAsia="zh-CN"/>
              </w:rPr>
              <w:t>3</w:t>
            </w:r>
          </w:p>
        </w:tc>
        <w:tc>
          <w:tcPr>
            <w:tcW w:w="982" w:type="dxa"/>
            <w:tcBorders>
              <w:top w:val="nil"/>
              <w:left w:val="single" w:color="000000" w:sz="4" w:space="0"/>
              <w:bottom w:val="single" w:color="auto" w:sz="4" w:space="0"/>
              <w:right w:val="single" w:color="000000" w:sz="4" w:space="0"/>
            </w:tcBorders>
            <w:noWrap w:val="0"/>
            <w:vAlign w:val="center"/>
          </w:tcPr>
          <w:p w14:paraId="54CE0B16">
            <w:pPr>
              <w:rPr>
                <w:rFonts w:hint="default"/>
                <w:color w:val="auto"/>
                <w:highlight w:val="none"/>
              </w:rPr>
            </w:pPr>
          </w:p>
        </w:tc>
        <w:tc>
          <w:tcPr>
            <w:tcW w:w="1268" w:type="dxa"/>
            <w:tcBorders>
              <w:top w:val="single" w:color="000000" w:sz="4" w:space="0"/>
              <w:left w:val="single" w:color="000000" w:sz="4" w:space="0"/>
              <w:bottom w:val="single" w:color="auto" w:sz="4" w:space="0"/>
              <w:right w:val="single" w:color="auto" w:sz="4" w:space="0"/>
            </w:tcBorders>
            <w:noWrap w:val="0"/>
            <w:vAlign w:val="center"/>
          </w:tcPr>
          <w:p w14:paraId="0C12468D">
            <w:pPr>
              <w:rPr>
                <w:color w:val="auto"/>
                <w:highlight w:val="none"/>
              </w:rPr>
            </w:pPr>
          </w:p>
        </w:tc>
        <w:tc>
          <w:tcPr>
            <w:tcW w:w="3709" w:type="dxa"/>
            <w:tcBorders>
              <w:top w:val="single" w:color="000000" w:sz="4" w:space="0"/>
              <w:left w:val="single" w:color="auto" w:sz="4" w:space="0"/>
              <w:bottom w:val="single" w:color="auto" w:sz="4" w:space="0"/>
              <w:right w:val="single" w:color="000000" w:sz="4" w:space="0"/>
            </w:tcBorders>
            <w:noWrap w:val="0"/>
            <w:vAlign w:val="center"/>
          </w:tcPr>
          <w:p w14:paraId="20CD62B9">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000000" w:sz="4" w:space="0"/>
              <w:left w:val="single" w:color="000000" w:sz="4" w:space="0"/>
              <w:bottom w:val="single" w:color="auto" w:sz="4" w:space="0"/>
              <w:right w:val="single" w:color="000000" w:sz="4" w:space="0"/>
            </w:tcBorders>
            <w:noWrap w:val="0"/>
            <w:vAlign w:val="top"/>
          </w:tcPr>
          <w:p w14:paraId="2F547B54">
            <w:pPr>
              <w:rPr>
                <w:rFonts w:hint="default"/>
                <w:color w:val="auto"/>
                <w:highlight w:val="none"/>
              </w:rPr>
            </w:pPr>
          </w:p>
        </w:tc>
      </w:tr>
      <w:tr w14:paraId="5F28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481" w:type="dxa"/>
            <w:tcBorders>
              <w:top w:val="single" w:color="auto" w:sz="4" w:space="0"/>
              <w:left w:val="single" w:color="000000" w:sz="4" w:space="0"/>
              <w:bottom w:val="single" w:color="auto" w:sz="4" w:space="0"/>
              <w:right w:val="single" w:color="000000" w:sz="4" w:space="0"/>
            </w:tcBorders>
            <w:noWrap w:val="0"/>
            <w:vAlign w:val="center"/>
          </w:tcPr>
          <w:p w14:paraId="79A8BDDC">
            <w:pPr>
              <w:jc w:val="center"/>
              <w:rPr>
                <w:rFonts w:hint="default"/>
                <w:color w:val="auto"/>
                <w:highlight w:val="none"/>
                <w:lang w:val="en-US" w:eastAsia="zh-CN"/>
              </w:rPr>
            </w:pPr>
            <w:r>
              <w:rPr>
                <w:rFonts w:hint="eastAsia"/>
                <w:color w:val="auto"/>
                <w:highlight w:val="none"/>
                <w:lang w:val="en-US" w:eastAsia="zh-CN"/>
              </w:rPr>
              <w:t>4</w:t>
            </w:r>
          </w:p>
        </w:tc>
        <w:tc>
          <w:tcPr>
            <w:tcW w:w="982" w:type="dxa"/>
            <w:tcBorders>
              <w:top w:val="single" w:color="auto" w:sz="4" w:space="0"/>
              <w:left w:val="single" w:color="000000" w:sz="4" w:space="0"/>
              <w:bottom w:val="single" w:color="auto" w:sz="4" w:space="0"/>
              <w:right w:val="single" w:color="000000" w:sz="4" w:space="0"/>
            </w:tcBorders>
            <w:noWrap w:val="0"/>
            <w:vAlign w:val="center"/>
          </w:tcPr>
          <w:p w14:paraId="057DA1A4">
            <w:pPr>
              <w:rPr>
                <w:rFonts w:hint="default"/>
                <w:color w:val="auto"/>
                <w:highlight w:val="none"/>
              </w:rPr>
            </w:pPr>
          </w:p>
        </w:tc>
        <w:tc>
          <w:tcPr>
            <w:tcW w:w="1268" w:type="dxa"/>
            <w:tcBorders>
              <w:top w:val="single" w:color="auto" w:sz="4" w:space="0"/>
              <w:left w:val="single" w:color="000000" w:sz="4" w:space="0"/>
              <w:bottom w:val="single" w:color="auto" w:sz="4" w:space="0"/>
              <w:right w:val="single" w:color="auto" w:sz="4" w:space="0"/>
            </w:tcBorders>
            <w:noWrap w:val="0"/>
            <w:vAlign w:val="center"/>
          </w:tcPr>
          <w:p w14:paraId="69027052">
            <w:pPr>
              <w:rPr>
                <w:color w:val="auto"/>
                <w:highlight w:val="none"/>
              </w:rPr>
            </w:pPr>
          </w:p>
        </w:tc>
        <w:tc>
          <w:tcPr>
            <w:tcW w:w="3709" w:type="dxa"/>
            <w:tcBorders>
              <w:top w:val="single" w:color="auto" w:sz="4" w:space="0"/>
              <w:left w:val="single" w:color="auto" w:sz="4" w:space="0"/>
              <w:bottom w:val="single" w:color="auto" w:sz="4" w:space="0"/>
              <w:right w:val="single" w:color="000000" w:sz="4" w:space="0"/>
            </w:tcBorders>
            <w:noWrap w:val="0"/>
            <w:vAlign w:val="center"/>
          </w:tcPr>
          <w:p w14:paraId="7840DE5D">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auto" w:sz="4" w:space="0"/>
              <w:right w:val="single" w:color="000000" w:sz="4" w:space="0"/>
            </w:tcBorders>
            <w:noWrap w:val="0"/>
            <w:vAlign w:val="top"/>
          </w:tcPr>
          <w:p w14:paraId="46F93646">
            <w:pPr>
              <w:rPr>
                <w:rFonts w:hint="default"/>
                <w:color w:val="auto"/>
                <w:highlight w:val="none"/>
              </w:rPr>
            </w:pPr>
          </w:p>
        </w:tc>
      </w:tr>
      <w:tr w14:paraId="10FD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81" w:type="dxa"/>
            <w:tcBorders>
              <w:top w:val="single" w:color="auto" w:sz="4" w:space="0"/>
              <w:left w:val="single" w:color="000000" w:sz="4" w:space="0"/>
              <w:bottom w:val="single" w:color="auto" w:sz="4" w:space="0"/>
              <w:right w:val="single" w:color="000000" w:sz="4" w:space="0"/>
            </w:tcBorders>
            <w:noWrap w:val="0"/>
            <w:vAlign w:val="center"/>
          </w:tcPr>
          <w:p w14:paraId="376BFD30">
            <w:pPr>
              <w:jc w:val="center"/>
              <w:rPr>
                <w:rFonts w:hint="default"/>
                <w:color w:val="auto"/>
                <w:highlight w:val="none"/>
                <w:lang w:val="en-US" w:eastAsia="zh-CN"/>
              </w:rPr>
            </w:pPr>
            <w:r>
              <w:rPr>
                <w:rFonts w:hint="eastAsia"/>
                <w:color w:val="auto"/>
                <w:highlight w:val="none"/>
                <w:lang w:val="en-US" w:eastAsia="zh-CN"/>
              </w:rPr>
              <w:t>5</w:t>
            </w:r>
          </w:p>
        </w:tc>
        <w:tc>
          <w:tcPr>
            <w:tcW w:w="982" w:type="dxa"/>
            <w:tcBorders>
              <w:top w:val="single" w:color="auto" w:sz="4" w:space="0"/>
              <w:left w:val="single" w:color="000000" w:sz="4" w:space="0"/>
              <w:bottom w:val="single" w:color="auto" w:sz="4" w:space="0"/>
              <w:right w:val="single" w:color="000000" w:sz="4" w:space="0"/>
            </w:tcBorders>
            <w:noWrap w:val="0"/>
            <w:vAlign w:val="center"/>
          </w:tcPr>
          <w:p w14:paraId="28305D6D">
            <w:pPr>
              <w:rPr>
                <w:rFonts w:hint="default"/>
                <w:color w:val="auto"/>
                <w:highlight w:val="none"/>
              </w:rPr>
            </w:pPr>
          </w:p>
        </w:tc>
        <w:tc>
          <w:tcPr>
            <w:tcW w:w="1268" w:type="dxa"/>
            <w:tcBorders>
              <w:top w:val="single" w:color="auto" w:sz="4" w:space="0"/>
              <w:left w:val="single" w:color="000000" w:sz="4" w:space="0"/>
              <w:bottom w:val="single" w:color="auto" w:sz="4" w:space="0"/>
              <w:right w:val="single" w:color="auto" w:sz="4" w:space="0"/>
            </w:tcBorders>
            <w:noWrap w:val="0"/>
            <w:vAlign w:val="center"/>
          </w:tcPr>
          <w:p w14:paraId="3CF2982F">
            <w:pPr>
              <w:rPr>
                <w:color w:val="auto"/>
                <w:highlight w:val="none"/>
              </w:rPr>
            </w:pPr>
          </w:p>
        </w:tc>
        <w:tc>
          <w:tcPr>
            <w:tcW w:w="3709" w:type="dxa"/>
            <w:tcBorders>
              <w:top w:val="single" w:color="auto" w:sz="4" w:space="0"/>
              <w:left w:val="single" w:color="auto" w:sz="4" w:space="0"/>
              <w:bottom w:val="single" w:color="auto" w:sz="4" w:space="0"/>
              <w:right w:val="single" w:color="000000" w:sz="4" w:space="0"/>
            </w:tcBorders>
            <w:noWrap w:val="0"/>
            <w:vAlign w:val="center"/>
          </w:tcPr>
          <w:p w14:paraId="4A4CF937">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auto" w:sz="4" w:space="0"/>
              <w:right w:val="single" w:color="000000" w:sz="4" w:space="0"/>
            </w:tcBorders>
            <w:noWrap w:val="0"/>
            <w:vAlign w:val="top"/>
          </w:tcPr>
          <w:p w14:paraId="6055FD59">
            <w:pPr>
              <w:rPr>
                <w:rFonts w:hint="default"/>
                <w:color w:val="auto"/>
                <w:highlight w:val="none"/>
              </w:rPr>
            </w:pPr>
          </w:p>
        </w:tc>
      </w:tr>
      <w:tr w14:paraId="3FB7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1" w:type="dxa"/>
            <w:tcBorders>
              <w:top w:val="single" w:color="auto" w:sz="4" w:space="0"/>
              <w:left w:val="single" w:color="000000" w:sz="4" w:space="0"/>
              <w:bottom w:val="single" w:color="auto" w:sz="4" w:space="0"/>
              <w:right w:val="single" w:color="000000" w:sz="4" w:space="0"/>
            </w:tcBorders>
            <w:noWrap w:val="0"/>
            <w:vAlign w:val="center"/>
          </w:tcPr>
          <w:p w14:paraId="0CAB2746">
            <w:pPr>
              <w:jc w:val="center"/>
              <w:rPr>
                <w:rFonts w:hint="default"/>
                <w:color w:val="auto"/>
                <w:highlight w:val="none"/>
                <w:lang w:val="en-US" w:eastAsia="zh-CN"/>
              </w:rPr>
            </w:pPr>
            <w:r>
              <w:rPr>
                <w:rFonts w:hint="eastAsia"/>
                <w:color w:val="auto"/>
                <w:highlight w:val="none"/>
                <w:lang w:val="en-US" w:eastAsia="zh-CN"/>
              </w:rPr>
              <w:t>6</w:t>
            </w:r>
          </w:p>
        </w:tc>
        <w:tc>
          <w:tcPr>
            <w:tcW w:w="982" w:type="dxa"/>
            <w:tcBorders>
              <w:top w:val="single" w:color="auto" w:sz="4" w:space="0"/>
              <w:left w:val="single" w:color="000000" w:sz="4" w:space="0"/>
              <w:bottom w:val="single" w:color="auto" w:sz="4" w:space="0"/>
              <w:right w:val="single" w:color="000000" w:sz="4" w:space="0"/>
            </w:tcBorders>
            <w:noWrap w:val="0"/>
            <w:vAlign w:val="center"/>
          </w:tcPr>
          <w:p w14:paraId="228B94D9">
            <w:pPr>
              <w:rPr>
                <w:rFonts w:hint="default"/>
                <w:color w:val="auto"/>
                <w:highlight w:val="none"/>
              </w:rPr>
            </w:pPr>
          </w:p>
        </w:tc>
        <w:tc>
          <w:tcPr>
            <w:tcW w:w="1268" w:type="dxa"/>
            <w:tcBorders>
              <w:top w:val="single" w:color="auto" w:sz="4" w:space="0"/>
              <w:left w:val="single" w:color="000000" w:sz="4" w:space="0"/>
              <w:bottom w:val="single" w:color="auto" w:sz="4" w:space="0"/>
              <w:right w:val="single" w:color="auto" w:sz="4" w:space="0"/>
            </w:tcBorders>
            <w:noWrap w:val="0"/>
            <w:vAlign w:val="center"/>
          </w:tcPr>
          <w:p w14:paraId="500301C3">
            <w:pPr>
              <w:rPr>
                <w:color w:val="auto"/>
                <w:highlight w:val="none"/>
              </w:rPr>
            </w:pPr>
          </w:p>
        </w:tc>
        <w:tc>
          <w:tcPr>
            <w:tcW w:w="3709" w:type="dxa"/>
            <w:tcBorders>
              <w:top w:val="single" w:color="auto" w:sz="4" w:space="0"/>
              <w:left w:val="single" w:color="auto" w:sz="4" w:space="0"/>
              <w:bottom w:val="single" w:color="auto" w:sz="4" w:space="0"/>
              <w:right w:val="single" w:color="000000" w:sz="4" w:space="0"/>
            </w:tcBorders>
            <w:noWrap w:val="0"/>
            <w:vAlign w:val="center"/>
          </w:tcPr>
          <w:p w14:paraId="65CD6614">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auto" w:sz="4" w:space="0"/>
              <w:right w:val="single" w:color="000000" w:sz="4" w:space="0"/>
            </w:tcBorders>
            <w:noWrap w:val="0"/>
            <w:vAlign w:val="top"/>
          </w:tcPr>
          <w:p w14:paraId="61BBC3EA">
            <w:pPr>
              <w:rPr>
                <w:rFonts w:hint="default"/>
                <w:color w:val="auto"/>
                <w:highlight w:val="none"/>
              </w:rPr>
            </w:pPr>
          </w:p>
        </w:tc>
      </w:tr>
      <w:tr w14:paraId="521A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481" w:type="dxa"/>
            <w:tcBorders>
              <w:top w:val="single" w:color="auto" w:sz="4" w:space="0"/>
              <w:left w:val="single" w:color="000000" w:sz="4" w:space="0"/>
              <w:bottom w:val="single" w:color="auto" w:sz="4" w:space="0"/>
              <w:right w:val="single" w:color="000000" w:sz="4" w:space="0"/>
            </w:tcBorders>
            <w:noWrap w:val="0"/>
            <w:vAlign w:val="center"/>
          </w:tcPr>
          <w:p w14:paraId="042E3D09">
            <w:pPr>
              <w:jc w:val="center"/>
              <w:rPr>
                <w:rFonts w:hint="default"/>
                <w:color w:val="auto"/>
                <w:highlight w:val="none"/>
                <w:lang w:val="en-US" w:eastAsia="zh-CN"/>
              </w:rPr>
            </w:pPr>
            <w:r>
              <w:rPr>
                <w:rFonts w:hint="eastAsia"/>
                <w:color w:val="auto"/>
                <w:highlight w:val="none"/>
                <w:lang w:val="en-US" w:eastAsia="zh-CN"/>
              </w:rPr>
              <w:t>7</w:t>
            </w:r>
          </w:p>
        </w:tc>
        <w:tc>
          <w:tcPr>
            <w:tcW w:w="982" w:type="dxa"/>
            <w:tcBorders>
              <w:top w:val="single" w:color="auto" w:sz="4" w:space="0"/>
              <w:left w:val="single" w:color="000000" w:sz="4" w:space="0"/>
              <w:bottom w:val="single" w:color="auto" w:sz="4" w:space="0"/>
              <w:right w:val="single" w:color="000000" w:sz="4" w:space="0"/>
            </w:tcBorders>
            <w:noWrap w:val="0"/>
            <w:vAlign w:val="center"/>
          </w:tcPr>
          <w:p w14:paraId="005AFF75">
            <w:pPr>
              <w:rPr>
                <w:rFonts w:hint="default"/>
                <w:color w:val="auto"/>
                <w:highlight w:val="none"/>
              </w:rPr>
            </w:pPr>
          </w:p>
        </w:tc>
        <w:tc>
          <w:tcPr>
            <w:tcW w:w="1268" w:type="dxa"/>
            <w:tcBorders>
              <w:top w:val="single" w:color="auto" w:sz="4" w:space="0"/>
              <w:left w:val="single" w:color="000000" w:sz="4" w:space="0"/>
              <w:bottom w:val="single" w:color="000000" w:sz="4" w:space="0"/>
              <w:right w:val="single" w:color="auto" w:sz="4" w:space="0"/>
            </w:tcBorders>
            <w:noWrap w:val="0"/>
            <w:vAlign w:val="center"/>
          </w:tcPr>
          <w:p w14:paraId="2ED5D581">
            <w:pPr>
              <w:rPr>
                <w:color w:val="auto"/>
                <w:highlight w:val="none"/>
              </w:rPr>
            </w:pPr>
          </w:p>
        </w:tc>
        <w:tc>
          <w:tcPr>
            <w:tcW w:w="3709" w:type="dxa"/>
            <w:tcBorders>
              <w:top w:val="single" w:color="auto" w:sz="4" w:space="0"/>
              <w:left w:val="single" w:color="auto" w:sz="4" w:space="0"/>
              <w:bottom w:val="single" w:color="000000" w:sz="4" w:space="0"/>
              <w:right w:val="single" w:color="000000" w:sz="4" w:space="0"/>
            </w:tcBorders>
            <w:noWrap w:val="0"/>
            <w:vAlign w:val="center"/>
          </w:tcPr>
          <w:p w14:paraId="039537CE">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000000" w:sz="4" w:space="0"/>
              <w:right w:val="single" w:color="000000" w:sz="4" w:space="0"/>
            </w:tcBorders>
            <w:noWrap w:val="0"/>
            <w:vAlign w:val="top"/>
          </w:tcPr>
          <w:p w14:paraId="7D55E961">
            <w:pPr>
              <w:rPr>
                <w:rFonts w:hint="default"/>
                <w:color w:val="auto"/>
                <w:highlight w:val="none"/>
              </w:rPr>
            </w:pPr>
          </w:p>
        </w:tc>
      </w:tr>
      <w:tr w14:paraId="7F0D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81" w:type="dxa"/>
            <w:vMerge w:val="restart"/>
            <w:tcBorders>
              <w:top w:val="single" w:color="000000" w:sz="4" w:space="0"/>
              <w:left w:val="single" w:color="000000" w:sz="4" w:space="0"/>
              <w:bottom w:val="nil"/>
              <w:right w:val="single" w:color="000000" w:sz="4" w:space="0"/>
            </w:tcBorders>
            <w:noWrap w:val="0"/>
            <w:vAlign w:val="center"/>
          </w:tcPr>
          <w:p w14:paraId="60DC31A8">
            <w:pPr>
              <w:jc w:val="center"/>
              <w:rPr>
                <w:rFonts w:hint="eastAsia" w:eastAsia="宋体"/>
                <w:color w:val="auto"/>
                <w:highlight w:val="none"/>
                <w:lang w:val="en-US" w:eastAsia="zh-CN"/>
              </w:rPr>
            </w:pPr>
            <w:r>
              <w:rPr>
                <w:rFonts w:hint="eastAsia"/>
                <w:color w:val="auto"/>
                <w:highlight w:val="none"/>
                <w:lang w:val="en-US" w:eastAsia="zh-CN"/>
              </w:rPr>
              <w:t>8</w:t>
            </w:r>
          </w:p>
        </w:tc>
        <w:tc>
          <w:tcPr>
            <w:tcW w:w="8089" w:type="dxa"/>
            <w:gridSpan w:val="4"/>
            <w:tcBorders>
              <w:top w:val="single" w:color="000000" w:sz="4" w:space="0"/>
              <w:left w:val="single" w:color="000000" w:sz="4" w:space="0"/>
              <w:bottom w:val="single" w:color="000000" w:sz="4" w:space="0"/>
              <w:right w:val="single" w:color="000000" w:sz="4" w:space="0"/>
            </w:tcBorders>
            <w:noWrap w:val="0"/>
            <w:vAlign w:val="center"/>
          </w:tcPr>
          <w:p w14:paraId="069627C7">
            <w:pPr>
              <w:rPr>
                <w:rFonts w:hint="default"/>
                <w:color w:val="auto"/>
                <w:highlight w:val="none"/>
              </w:rPr>
            </w:pPr>
            <w:r>
              <w:rPr>
                <w:color w:val="auto"/>
                <w:highlight w:val="none"/>
                <w:lang w:val="en-US" w:eastAsia="zh-CN"/>
              </w:rPr>
              <w:t>本</w:t>
            </w:r>
            <w:r>
              <w:rPr>
                <w:rFonts w:hint="eastAsia"/>
                <w:color w:val="auto"/>
                <w:highlight w:val="none"/>
                <w:lang w:val="en-US" w:eastAsia="zh-CN"/>
              </w:rPr>
              <w:t>月</w:t>
            </w:r>
            <w:r>
              <w:rPr>
                <w:color w:val="auto"/>
                <w:highlight w:val="none"/>
                <w:lang w:val="en-US" w:eastAsia="zh-CN"/>
              </w:rPr>
              <w:t>度维保服务质量考核结果</w:t>
            </w:r>
            <w:r>
              <w:rPr>
                <w:rFonts w:hint="eastAsia"/>
                <w:color w:val="auto"/>
                <w:highlight w:val="none"/>
                <w:lang w:val="en-US" w:eastAsia="zh-CN"/>
              </w:rPr>
              <w:t>：</w:t>
            </w:r>
          </w:p>
        </w:tc>
      </w:tr>
      <w:tr w14:paraId="6CA5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81" w:type="dxa"/>
            <w:vMerge w:val="continue"/>
            <w:tcBorders>
              <w:top w:val="single" w:color="000000" w:sz="4" w:space="0"/>
              <w:left w:val="single" w:color="000000" w:sz="4" w:space="0"/>
              <w:bottom w:val="nil"/>
              <w:right w:val="single" w:color="000000" w:sz="4" w:space="0"/>
            </w:tcBorders>
            <w:noWrap w:val="0"/>
            <w:vAlign w:val="center"/>
          </w:tcPr>
          <w:p w14:paraId="4C8408B4">
            <w:pPr>
              <w:jc w:val="center"/>
              <w:rPr>
                <w:rFonts w:hint="default"/>
                <w:color w:val="auto"/>
                <w:highlight w:val="none"/>
              </w:rPr>
            </w:pPr>
          </w:p>
        </w:tc>
        <w:tc>
          <w:tcPr>
            <w:tcW w:w="8089" w:type="dxa"/>
            <w:gridSpan w:val="4"/>
            <w:tcBorders>
              <w:top w:val="single" w:color="000000" w:sz="4" w:space="0"/>
              <w:left w:val="single" w:color="000000" w:sz="4" w:space="0"/>
              <w:bottom w:val="single" w:color="000000" w:sz="4" w:space="0"/>
              <w:right w:val="single" w:color="000000" w:sz="4" w:space="0"/>
            </w:tcBorders>
            <w:noWrap w:val="0"/>
            <w:vAlign w:val="center"/>
          </w:tcPr>
          <w:p w14:paraId="4CE8AA5E">
            <w:pPr>
              <w:rPr>
                <w:color w:val="auto"/>
                <w:highlight w:val="none"/>
              </w:rPr>
            </w:pPr>
            <w:r>
              <w:rPr>
                <w:color w:val="auto"/>
                <w:highlight w:val="none"/>
                <w:lang w:val="en-US" w:eastAsia="zh-CN"/>
              </w:rPr>
              <w:t>考核人员签名：</w:t>
            </w:r>
          </w:p>
        </w:tc>
      </w:tr>
      <w:tr w14:paraId="010C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2850DDFA">
            <w:pPr>
              <w:jc w:val="center"/>
              <w:rPr>
                <w:rFonts w:hint="eastAsia" w:eastAsia="宋体"/>
                <w:color w:val="auto"/>
                <w:highlight w:val="none"/>
                <w:lang w:val="en-US" w:eastAsia="zh-CN"/>
              </w:rPr>
            </w:pPr>
            <w:r>
              <w:rPr>
                <w:rFonts w:hint="eastAsia"/>
                <w:color w:val="auto"/>
                <w:highlight w:val="none"/>
                <w:lang w:val="en-US" w:eastAsia="zh-CN"/>
              </w:rPr>
              <w:t>9</w:t>
            </w:r>
          </w:p>
        </w:tc>
        <w:tc>
          <w:tcPr>
            <w:tcW w:w="8089" w:type="dxa"/>
            <w:gridSpan w:val="4"/>
            <w:tcBorders>
              <w:top w:val="single" w:color="000000" w:sz="4" w:space="0"/>
              <w:left w:val="nil"/>
              <w:bottom w:val="single" w:color="000000" w:sz="4" w:space="0"/>
              <w:right w:val="single" w:color="000000" w:sz="4" w:space="0"/>
            </w:tcBorders>
            <w:noWrap w:val="0"/>
            <w:vAlign w:val="center"/>
          </w:tcPr>
          <w:p w14:paraId="763A2507">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right="0" w:rightChars="0"/>
              <w:jc w:val="left"/>
              <w:textAlignment w:val="auto"/>
              <w:rPr>
                <w:rFonts w:hint="default" w:ascii="Calibri" w:hAnsi="Calibri" w:cs="Times New Roman"/>
                <w:color w:val="auto"/>
                <w:kern w:val="2"/>
                <w:sz w:val="21"/>
                <w:szCs w:val="24"/>
                <w:highlight w:val="none"/>
                <w:lang w:val="en-US" w:eastAsia="zh-CN" w:bidi="ar-SA"/>
              </w:rPr>
            </w:pPr>
            <w:r>
              <w:rPr>
                <w:color w:val="auto"/>
                <w:highlight w:val="none"/>
                <w:lang w:val="en-US" w:eastAsia="zh-CN"/>
              </w:rPr>
              <w:t>备注：</w:t>
            </w:r>
            <w:r>
              <w:rPr>
                <w:rFonts w:hint="eastAsia" w:ascii="Calibri" w:hAnsi="Calibri" w:eastAsia="宋体" w:cs="Times New Roman"/>
                <w:color w:val="auto"/>
                <w:kern w:val="2"/>
                <w:sz w:val="21"/>
                <w:szCs w:val="24"/>
                <w:highlight w:val="none"/>
                <w:lang w:val="en-US" w:eastAsia="zh-CN" w:bidi="ar-SA"/>
              </w:rPr>
              <w:t>保卫部门组织医院相关科室</w:t>
            </w:r>
            <w:r>
              <w:rPr>
                <w:rFonts w:hint="eastAsia" w:ascii="Calibri" w:hAnsi="Calibri"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根据乙方月度评价，综合日常工作情况进行整个年度考核</w:t>
            </w:r>
            <w:r>
              <w:rPr>
                <w:rFonts w:hint="eastAsia" w:ascii="Calibri" w:hAnsi="Calibri" w:cs="Times New Roman"/>
                <w:color w:val="auto"/>
                <w:kern w:val="2"/>
                <w:sz w:val="21"/>
                <w:szCs w:val="24"/>
                <w:highlight w:val="none"/>
                <w:lang w:val="en-US" w:eastAsia="zh-CN" w:bidi="ar-SA"/>
              </w:rPr>
              <w:t>。</w:t>
            </w:r>
          </w:p>
          <w:p w14:paraId="5480661B">
            <w:pPr>
              <w:rPr>
                <w:color w:val="auto"/>
                <w:highlight w:val="none"/>
              </w:rPr>
            </w:pPr>
            <w:r>
              <w:rPr>
                <w:rFonts w:hint="eastAsia"/>
                <w:color w:val="auto"/>
                <w:highlight w:val="none"/>
                <w:lang w:val="en-US" w:eastAsia="zh-CN"/>
              </w:rPr>
              <w:t>内容：考核分为3项，累积3项一般；其中出现</w:t>
            </w:r>
            <w:r>
              <w:rPr>
                <w:rFonts w:hint="eastAsia" w:eastAsia="宋体" w:cs="Times New Roman"/>
                <w:color w:val="auto"/>
                <w:highlight w:val="none"/>
                <w:lang w:val="en-US" w:eastAsia="zh-CN"/>
              </w:rPr>
              <w:t xml:space="preserve">1项考核不合格；取消该公司下一年度的合作资格。 </w:t>
            </w:r>
            <w:r>
              <w:rPr>
                <w:color w:val="auto"/>
                <w:highlight w:val="none"/>
                <w:lang w:val="en-US" w:eastAsia="zh-CN"/>
              </w:rPr>
              <w:br w:type="textWrapping"/>
            </w:r>
          </w:p>
        </w:tc>
      </w:tr>
    </w:tbl>
    <w:p w14:paraId="11EAF3C1">
      <w:pPr>
        <w:rPr>
          <w:rFonts w:hint="eastAsia"/>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4B0F3A4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right="0"/>
        <w:jc w:val="center"/>
        <w:textAlignment w:val="auto"/>
        <w:rPr>
          <w:rFonts w:hint="eastAsia" w:ascii="宋体" w:hAnsi="宋体" w:eastAsia="宋体" w:cs="宋体"/>
          <w:b/>
          <w:bCs/>
          <w:spacing w:val="-3"/>
          <w:sz w:val="32"/>
          <w:szCs w:val="32"/>
          <w:lang w:val="en-US" w:eastAsia="zh-CN" w:bidi="zh-CN"/>
        </w:rPr>
      </w:pPr>
      <w:r>
        <w:rPr>
          <w:rFonts w:hint="eastAsia" w:ascii="宋体" w:hAnsi="宋体" w:eastAsia="宋体" w:cs="宋体"/>
          <w:b/>
          <w:bCs/>
          <w:spacing w:val="-3"/>
          <w:sz w:val="32"/>
          <w:szCs w:val="32"/>
          <w:lang w:val="en-US" w:eastAsia="zh-CN" w:bidi="zh-CN"/>
        </w:rPr>
        <w:t>消防控制室值守服务需求</w:t>
      </w:r>
    </w:p>
    <w:p w14:paraId="1B26463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right="0"/>
        <w:jc w:val="center"/>
        <w:textAlignment w:val="auto"/>
        <w:rPr>
          <w:rFonts w:hint="eastAsia" w:ascii="宋体" w:hAnsi="宋体" w:eastAsia="宋体" w:cs="宋体"/>
          <w:b/>
          <w:bCs/>
          <w:spacing w:val="-3"/>
          <w:sz w:val="32"/>
          <w:szCs w:val="32"/>
          <w:lang w:val="en-US" w:eastAsia="zh-CN" w:bidi="zh-CN"/>
        </w:rPr>
      </w:pPr>
    </w:p>
    <w:p w14:paraId="63F76702">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360" w:lineRule="auto"/>
        <w:ind w:left="0" w:leftChars="0" w:right="0" w:firstLine="482" w:firstLineChars="200"/>
        <w:textAlignment w:val="auto"/>
        <w:rPr>
          <w:rFonts w:hint="default" w:eastAsia="宋体"/>
          <w:b/>
          <w:bCs/>
          <w:lang w:val="en-US" w:eastAsia="zh-CN"/>
        </w:rPr>
      </w:pPr>
      <w:r>
        <w:rPr>
          <w:rFonts w:hint="eastAsia"/>
          <w:b/>
          <w:bCs/>
          <w:lang w:val="en-US" w:eastAsia="zh-CN"/>
        </w:rPr>
        <w:t>一、基本情况</w:t>
      </w:r>
    </w:p>
    <w:p w14:paraId="4FE70C92">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82" w:firstLineChars="200"/>
        <w:textAlignment w:val="auto"/>
        <w:rPr>
          <w:rFonts w:hint="default"/>
          <w:lang w:val="en-US" w:eastAsia="zh-CN"/>
        </w:rPr>
      </w:pPr>
      <w:r>
        <w:rPr>
          <w:rFonts w:hint="eastAsia"/>
          <w:b/>
          <w:bCs/>
          <w:lang w:val="en-US" w:eastAsia="zh-CN"/>
        </w:rPr>
        <w:t>（一）项目概述</w:t>
      </w:r>
    </w:p>
    <w:p w14:paraId="02E28E8D">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hint="default"/>
          <w:spacing w:val="-3"/>
          <w:u w:val="none"/>
          <w:lang w:val="en-US" w:eastAsia="zh-CN"/>
        </w:rPr>
      </w:pPr>
      <w:r>
        <w:rPr>
          <w:rFonts w:hint="eastAsia"/>
          <w:lang w:val="en-US" w:eastAsia="zh-CN"/>
        </w:rPr>
        <w:t>1.</w:t>
      </w:r>
      <w:r>
        <w:rPr>
          <w:u w:val="none"/>
        </w:rPr>
        <w:t>项目名称：</w:t>
      </w:r>
      <w:r>
        <w:rPr>
          <w:rFonts w:hint="eastAsia"/>
          <w:spacing w:val="-3"/>
          <w:u w:val="none"/>
          <w:lang w:val="en-US" w:eastAsia="zh-CN"/>
        </w:rPr>
        <w:t>广东省中医院贵州医院消防控制室值守服务</w:t>
      </w:r>
    </w:p>
    <w:p w14:paraId="644AB2B0">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68" w:firstLineChars="200"/>
        <w:textAlignment w:val="auto"/>
        <w:rPr>
          <w:rFonts w:hint="default"/>
          <w:u w:val="none"/>
          <w:lang w:val="en-US"/>
        </w:rPr>
      </w:pPr>
      <w:r>
        <w:rPr>
          <w:rFonts w:hint="eastAsia"/>
          <w:spacing w:val="-3"/>
          <w:u w:val="none"/>
          <w:lang w:val="en-US" w:eastAsia="zh-CN"/>
        </w:rPr>
        <w:t>2</w:t>
      </w:r>
      <w:r>
        <w:rPr>
          <w:rFonts w:hint="eastAsia"/>
          <w:lang w:val="en-US" w:eastAsia="zh-CN"/>
        </w:rPr>
        <w:t>.</w:t>
      </w:r>
      <w:r>
        <w:rPr>
          <w:u w:val="none"/>
        </w:rPr>
        <w:t>使用单位：</w:t>
      </w:r>
      <w:r>
        <w:rPr>
          <w:rFonts w:hint="eastAsia"/>
          <w:spacing w:val="-3"/>
          <w:u w:val="none"/>
          <w:lang w:val="en-US" w:eastAsia="zh-CN"/>
        </w:rPr>
        <w:t>广东省中医院贵州医院</w:t>
      </w:r>
    </w:p>
    <w:p w14:paraId="5617BAAC">
      <w:pPr>
        <w:pStyle w:val="3"/>
        <w:keepNext w:val="0"/>
        <w:keepLines w:val="0"/>
        <w:pageBreakBefore w:val="0"/>
        <w:widowControl w:val="0"/>
        <w:tabs>
          <w:tab w:val="left" w:pos="5778"/>
        </w:tabs>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default" w:eastAsia="宋体"/>
          <w:u w:val="none"/>
          <w:lang w:val="en-US" w:eastAsia="zh-CN"/>
        </w:rPr>
      </w:pPr>
      <w:r>
        <w:rPr>
          <w:rFonts w:hint="eastAsia"/>
          <w:u w:val="none"/>
          <w:lang w:val="en-US" w:eastAsia="zh-CN"/>
        </w:rPr>
        <w:t>3</w:t>
      </w:r>
      <w:r>
        <w:rPr>
          <w:rFonts w:hint="eastAsia"/>
          <w:lang w:val="en-US" w:eastAsia="zh-CN"/>
        </w:rPr>
        <w:t>.</w:t>
      </w:r>
      <w:r>
        <w:rPr>
          <w:rFonts w:hint="eastAsia"/>
          <w:u w:val="none"/>
          <w:lang w:val="en-US" w:eastAsia="zh-CN"/>
        </w:rPr>
        <w:t>项目</w:t>
      </w:r>
      <w:r>
        <w:rPr>
          <w:u w:val="none"/>
        </w:rPr>
        <w:t>地址：</w:t>
      </w:r>
      <w:r>
        <w:rPr>
          <w:rFonts w:hint="eastAsia"/>
          <w:spacing w:val="-3"/>
          <w:u w:val="none"/>
          <w:lang w:val="en-US" w:eastAsia="zh-CN"/>
        </w:rPr>
        <w:t>贵州省贵阳市南明区花溪大道中段27号</w:t>
      </w:r>
    </w:p>
    <w:p w14:paraId="1295FE17">
      <w:pPr>
        <w:pStyle w:val="3"/>
        <w:keepNext w:val="0"/>
        <w:keepLines w:val="0"/>
        <w:pageBreakBefore w:val="0"/>
        <w:widowControl w:val="0"/>
        <w:tabs>
          <w:tab w:val="left" w:pos="1439"/>
          <w:tab w:val="left" w:pos="1799"/>
          <w:tab w:val="left" w:pos="1919"/>
          <w:tab w:val="left" w:pos="2759"/>
          <w:tab w:val="left" w:pos="4099"/>
          <w:tab w:val="left" w:pos="5058"/>
          <w:tab w:val="left" w:pos="5152"/>
          <w:tab w:val="left" w:pos="5418"/>
          <w:tab w:val="left" w:pos="6858"/>
          <w:tab w:val="left" w:pos="9738"/>
          <w:tab w:val="left" w:pos="9901"/>
          <w:tab w:val="left" w:pos="10043"/>
          <w:tab w:val="left" w:pos="10163"/>
        </w:tabs>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ascii="Times New Roman" w:eastAsia="Times New Roman"/>
        </w:rPr>
      </w:pPr>
      <w:r>
        <w:rPr>
          <w:rFonts w:hint="eastAsia"/>
          <w:lang w:val="en-US" w:eastAsia="zh-CN"/>
        </w:rPr>
        <w:t>4.</w:t>
      </w:r>
      <w:r>
        <w:rPr>
          <w:rFonts w:hint="eastAsia"/>
          <w:lang w:eastAsia="zh-CN"/>
        </w:rPr>
        <w:t>总</w:t>
      </w:r>
      <w:r>
        <w:t>建筑面积</w:t>
      </w:r>
      <w:r>
        <w:rPr>
          <w:u w:val="none"/>
        </w:rPr>
        <w:t>：</w:t>
      </w:r>
      <w:r>
        <w:rPr>
          <w:rFonts w:hint="eastAsia" w:ascii="宋体" w:hAnsi="宋体" w:eastAsia="宋体" w:cs="宋体"/>
          <w:u w:val="none"/>
        </w:rPr>
        <w:t>28798.59平方米</w:t>
      </w:r>
      <w:r>
        <w:rPr>
          <w:rFonts w:hint="eastAsia" w:cs="宋体"/>
          <w:u w:val="none"/>
          <w:lang w:val="en-US" w:eastAsia="zh-CN"/>
        </w:rPr>
        <w:t>；</w:t>
      </w:r>
      <w:r>
        <w:t>使</w:t>
      </w:r>
      <w:r>
        <w:rPr>
          <w:u w:val="none"/>
        </w:rPr>
        <w:t>用性质：</w:t>
      </w:r>
      <w:r>
        <w:rPr>
          <w:rFonts w:hint="eastAsia"/>
          <w:u w:val="none"/>
          <w:lang w:val="en-US" w:eastAsia="zh-CN"/>
        </w:rPr>
        <w:t>医院；</w:t>
      </w:r>
      <w:r>
        <w:rPr>
          <w:u w:val="none"/>
        </w:rPr>
        <w:t>地上</w:t>
      </w:r>
      <w:r>
        <w:rPr>
          <w:rFonts w:hint="eastAsia"/>
          <w:u w:val="none"/>
          <w:lang w:val="en-US" w:eastAsia="zh-CN"/>
        </w:rPr>
        <w:t>建筑</w:t>
      </w:r>
      <w:r>
        <w:rPr>
          <w:u w:val="none"/>
        </w:rPr>
        <w:t>：</w:t>
      </w:r>
      <w:r>
        <w:rPr>
          <w:rFonts w:hint="eastAsia"/>
          <w:u w:val="none"/>
          <w:lang w:val="en-US" w:eastAsia="zh-CN"/>
        </w:rPr>
        <w:t>18</w:t>
      </w:r>
      <w:r>
        <w:rPr>
          <w:u w:val="none"/>
        </w:rPr>
        <w:t>层</w:t>
      </w:r>
      <w:r>
        <w:rPr>
          <w:rFonts w:hint="eastAsia"/>
          <w:u w:val="none"/>
          <w:lang w:eastAsia="zh-CN"/>
        </w:rPr>
        <w:t>，</w:t>
      </w:r>
      <w:r>
        <w:rPr>
          <w:u w:val="none"/>
        </w:rPr>
        <w:t>地下</w:t>
      </w:r>
      <w:r>
        <w:rPr>
          <w:rFonts w:hint="eastAsia"/>
          <w:u w:val="none"/>
          <w:lang w:val="en-US" w:eastAsia="zh-CN"/>
        </w:rPr>
        <w:t>建筑</w:t>
      </w:r>
      <w:r>
        <w:rPr>
          <w:u w:val="none"/>
        </w:rPr>
        <w:t>：</w:t>
      </w:r>
      <w:r>
        <w:rPr>
          <w:rFonts w:hint="eastAsia"/>
          <w:spacing w:val="119"/>
          <w:u w:val="none"/>
          <w:lang w:val="en-US" w:eastAsia="zh-CN"/>
        </w:rPr>
        <w:t>2</w:t>
      </w:r>
      <w:r>
        <w:rPr>
          <w:u w:val="none"/>
        </w:rPr>
        <w:t>层</w:t>
      </w:r>
      <w:r>
        <w:rPr>
          <w:rFonts w:hint="eastAsia"/>
          <w:u w:val="none"/>
          <w:lang w:eastAsia="zh-CN"/>
        </w:rPr>
        <w:t>。</w:t>
      </w:r>
    </w:p>
    <w:p w14:paraId="76EB0250">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82" w:firstLineChars="200"/>
        <w:textAlignment w:val="auto"/>
        <w:rPr>
          <w:rFonts w:hint="default"/>
          <w:b/>
          <w:bCs/>
          <w:lang w:val="en-US" w:eastAsia="zh-CN"/>
        </w:rPr>
      </w:pPr>
      <w:bookmarkStart w:id="0" w:name="第一条：建筑消防设施维护保养服务范围："/>
      <w:bookmarkEnd w:id="0"/>
      <w:r>
        <w:rPr>
          <w:rFonts w:hint="eastAsia"/>
          <w:b/>
          <w:bCs/>
          <w:lang w:val="en-US" w:eastAsia="zh-CN"/>
        </w:rPr>
        <w:t>（二）消防控制室主要消防设备情况</w:t>
      </w:r>
    </w:p>
    <w:p w14:paraId="2C72F945">
      <w:pPr>
        <w:pStyle w:val="3"/>
        <w:keepNext w:val="0"/>
        <w:keepLines w:val="0"/>
        <w:pageBreakBefore w:val="0"/>
        <w:widowControl w:val="0"/>
        <w:tabs>
          <w:tab w:val="left" w:pos="5778"/>
        </w:tabs>
        <w:kinsoku/>
        <w:wordWrap/>
        <w:overflowPunct/>
        <w:topLinePunct w:val="0"/>
        <w:autoSpaceDE w:val="0"/>
        <w:autoSpaceDN w:val="0"/>
        <w:bidi w:val="0"/>
        <w:adjustRightInd w:val="0"/>
        <w:snapToGrid w:val="0"/>
        <w:spacing w:before="0" w:line="360" w:lineRule="auto"/>
        <w:ind w:left="0" w:leftChars="0" w:right="0" w:firstLine="464" w:firstLineChars="200"/>
        <w:textAlignment w:val="auto"/>
        <w:rPr>
          <w:rFonts w:hint="default"/>
          <w:spacing w:val="-3"/>
          <w:u w:val="none"/>
          <w:lang w:val="en-US" w:eastAsia="zh-CN"/>
        </w:rPr>
      </w:pPr>
      <w:r>
        <w:rPr>
          <w:rFonts w:hint="eastAsia" w:ascii="宋体" w:hAnsi="宋体" w:eastAsia="宋体" w:cs="宋体"/>
          <w:spacing w:val="-4"/>
          <w:sz w:val="24"/>
          <w:szCs w:val="24"/>
          <w:lang w:val="zh-CN" w:eastAsia="zh-CN" w:bidi="zh-CN"/>
        </w:rPr>
        <w:t>消防控制室火灾自动报警与消防联动控制系统</w:t>
      </w:r>
      <w:r>
        <w:rPr>
          <w:rFonts w:hint="eastAsia" w:cs="宋体"/>
          <w:spacing w:val="-4"/>
          <w:sz w:val="24"/>
          <w:szCs w:val="24"/>
          <w:lang w:val="en-US" w:eastAsia="zh-CN" w:bidi="zh-CN"/>
        </w:rPr>
        <w:t>等主要设备及参数如下：</w:t>
      </w: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404"/>
        <w:gridCol w:w="1182"/>
        <w:gridCol w:w="1476"/>
        <w:gridCol w:w="1147"/>
        <w:gridCol w:w="1381"/>
      </w:tblGrid>
      <w:tr w14:paraId="6A43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8" w:type="dxa"/>
            <w:vAlign w:val="center"/>
          </w:tcPr>
          <w:p w14:paraId="5145856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404" w:type="dxa"/>
            <w:vAlign w:val="center"/>
          </w:tcPr>
          <w:p w14:paraId="086E017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1182" w:type="dxa"/>
          </w:tcPr>
          <w:p w14:paraId="261D2B1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476" w:type="dxa"/>
            <w:vAlign w:val="center"/>
          </w:tcPr>
          <w:p w14:paraId="436A09F7">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型号</w:t>
            </w:r>
          </w:p>
        </w:tc>
        <w:tc>
          <w:tcPr>
            <w:tcW w:w="1147" w:type="dxa"/>
            <w:vAlign w:val="center"/>
          </w:tcPr>
          <w:p w14:paraId="11A6EC7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品牌</w:t>
            </w:r>
          </w:p>
        </w:tc>
        <w:tc>
          <w:tcPr>
            <w:tcW w:w="1381" w:type="dxa"/>
            <w:vAlign w:val="center"/>
          </w:tcPr>
          <w:p w14:paraId="798C0BE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7F46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8" w:type="dxa"/>
            <w:vAlign w:val="center"/>
          </w:tcPr>
          <w:p w14:paraId="2DAC666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404" w:type="dxa"/>
            <w:vAlign w:val="center"/>
          </w:tcPr>
          <w:p w14:paraId="595B246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报警主机</w:t>
            </w:r>
          </w:p>
        </w:tc>
        <w:tc>
          <w:tcPr>
            <w:tcW w:w="1182" w:type="dxa"/>
            <w:vAlign w:val="center"/>
          </w:tcPr>
          <w:p w14:paraId="3B3D0D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76" w:type="dxa"/>
            <w:vAlign w:val="center"/>
          </w:tcPr>
          <w:p w14:paraId="1C946D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JB -QTL-TX3016A</w:t>
            </w:r>
          </w:p>
        </w:tc>
        <w:tc>
          <w:tcPr>
            <w:tcW w:w="1147" w:type="dxa"/>
            <w:vAlign w:val="center"/>
          </w:tcPr>
          <w:p w14:paraId="39E11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泰和安</w:t>
            </w:r>
          </w:p>
        </w:tc>
        <w:tc>
          <w:tcPr>
            <w:tcW w:w="1381" w:type="dxa"/>
            <w:vAlign w:val="center"/>
          </w:tcPr>
          <w:p w14:paraId="54D843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消防联动控制器</w:t>
            </w:r>
          </w:p>
        </w:tc>
      </w:tr>
      <w:tr w14:paraId="633C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8" w:type="dxa"/>
            <w:vAlign w:val="center"/>
          </w:tcPr>
          <w:p w14:paraId="65486BC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404" w:type="dxa"/>
            <w:vAlign w:val="center"/>
          </w:tcPr>
          <w:p w14:paraId="2AD892D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广播主机</w:t>
            </w:r>
          </w:p>
        </w:tc>
        <w:tc>
          <w:tcPr>
            <w:tcW w:w="1182" w:type="dxa"/>
            <w:vAlign w:val="center"/>
          </w:tcPr>
          <w:p w14:paraId="620AB9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76" w:type="dxa"/>
            <w:vAlign w:val="center"/>
          </w:tcPr>
          <w:p w14:paraId="4BF986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47" w:type="dxa"/>
            <w:vAlign w:val="center"/>
          </w:tcPr>
          <w:p w14:paraId="0390CE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泰和安</w:t>
            </w:r>
          </w:p>
        </w:tc>
        <w:tc>
          <w:tcPr>
            <w:tcW w:w="1381" w:type="dxa"/>
            <w:vAlign w:val="center"/>
          </w:tcPr>
          <w:p w14:paraId="4791B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14:paraId="18B9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8" w:type="dxa"/>
            <w:vAlign w:val="center"/>
          </w:tcPr>
          <w:p w14:paraId="71BCC35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404" w:type="dxa"/>
            <w:vAlign w:val="center"/>
          </w:tcPr>
          <w:p w14:paraId="5D11CAC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智能电源盘</w:t>
            </w:r>
          </w:p>
        </w:tc>
        <w:tc>
          <w:tcPr>
            <w:tcW w:w="1182" w:type="dxa"/>
            <w:vAlign w:val="center"/>
          </w:tcPr>
          <w:p w14:paraId="66EEE4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76" w:type="dxa"/>
            <w:vAlign w:val="center"/>
          </w:tcPr>
          <w:p w14:paraId="47FAE5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TD0808</w:t>
            </w:r>
          </w:p>
        </w:tc>
        <w:tc>
          <w:tcPr>
            <w:tcW w:w="1147" w:type="dxa"/>
            <w:vAlign w:val="center"/>
          </w:tcPr>
          <w:p w14:paraId="64ADA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泰和安</w:t>
            </w:r>
          </w:p>
        </w:tc>
        <w:tc>
          <w:tcPr>
            <w:tcW w:w="1381" w:type="dxa"/>
            <w:vAlign w:val="center"/>
          </w:tcPr>
          <w:p w14:paraId="0656FC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消防联动电源</w:t>
            </w:r>
          </w:p>
        </w:tc>
      </w:tr>
      <w:tr w14:paraId="0E0D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8" w:type="dxa"/>
            <w:vAlign w:val="center"/>
          </w:tcPr>
          <w:p w14:paraId="31EABF7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404" w:type="dxa"/>
            <w:vAlign w:val="center"/>
          </w:tcPr>
          <w:p w14:paraId="6632E06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多线控制盘</w:t>
            </w:r>
          </w:p>
        </w:tc>
        <w:tc>
          <w:tcPr>
            <w:tcW w:w="1182" w:type="dxa"/>
            <w:vAlign w:val="center"/>
          </w:tcPr>
          <w:p w14:paraId="6BB5E8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76" w:type="dxa"/>
            <w:vAlign w:val="center"/>
          </w:tcPr>
          <w:p w14:paraId="1E75F7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47" w:type="dxa"/>
            <w:vAlign w:val="center"/>
          </w:tcPr>
          <w:p w14:paraId="577E66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泰和安</w:t>
            </w:r>
          </w:p>
        </w:tc>
        <w:tc>
          <w:tcPr>
            <w:tcW w:w="1381" w:type="dxa"/>
            <w:vAlign w:val="center"/>
          </w:tcPr>
          <w:p w14:paraId="5D3E7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14:paraId="33FF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8" w:type="dxa"/>
            <w:vAlign w:val="center"/>
          </w:tcPr>
          <w:p w14:paraId="1F21ED0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404" w:type="dxa"/>
            <w:vAlign w:val="center"/>
          </w:tcPr>
          <w:p w14:paraId="627325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消防控制室图形显示装置</w:t>
            </w:r>
          </w:p>
        </w:tc>
        <w:tc>
          <w:tcPr>
            <w:tcW w:w="1182" w:type="dxa"/>
            <w:vAlign w:val="center"/>
          </w:tcPr>
          <w:p w14:paraId="260FD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76" w:type="dxa"/>
            <w:vAlign w:val="center"/>
          </w:tcPr>
          <w:p w14:paraId="38D119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TX3820A</w:t>
            </w:r>
          </w:p>
        </w:tc>
        <w:tc>
          <w:tcPr>
            <w:tcW w:w="1147" w:type="dxa"/>
            <w:vAlign w:val="center"/>
          </w:tcPr>
          <w:p w14:paraId="3F5CE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泰和安</w:t>
            </w:r>
          </w:p>
        </w:tc>
        <w:tc>
          <w:tcPr>
            <w:tcW w:w="1381" w:type="dxa"/>
            <w:vAlign w:val="center"/>
          </w:tcPr>
          <w:p w14:paraId="2BD046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14:paraId="79A5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8" w:type="dxa"/>
            <w:vAlign w:val="center"/>
          </w:tcPr>
          <w:p w14:paraId="617D8E8E">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404" w:type="dxa"/>
            <w:vAlign w:val="center"/>
          </w:tcPr>
          <w:p w14:paraId="0CD79D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智慧消防设备</w:t>
            </w:r>
          </w:p>
        </w:tc>
        <w:tc>
          <w:tcPr>
            <w:tcW w:w="1182" w:type="dxa"/>
            <w:vAlign w:val="center"/>
          </w:tcPr>
          <w:p w14:paraId="245C17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76" w:type="dxa"/>
            <w:vAlign w:val="center"/>
          </w:tcPr>
          <w:p w14:paraId="2E99F7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47" w:type="dxa"/>
            <w:vAlign w:val="center"/>
          </w:tcPr>
          <w:p w14:paraId="678CDA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无锡蓝天</w:t>
            </w:r>
          </w:p>
        </w:tc>
        <w:tc>
          <w:tcPr>
            <w:tcW w:w="1381" w:type="dxa"/>
            <w:vAlign w:val="center"/>
          </w:tcPr>
          <w:p w14:paraId="312657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13"/>
                <w:szCs w:val="13"/>
              </w:rPr>
              <w:t>火灾自动报警主机云监测</w:t>
            </w:r>
            <w:r>
              <w:rPr>
                <w:rFonts w:hint="eastAsia" w:cs="宋体"/>
                <w:sz w:val="13"/>
                <w:szCs w:val="13"/>
                <w:lang w:val="en-US" w:eastAsia="zh-CN"/>
              </w:rPr>
              <w:t>系统、</w:t>
            </w:r>
            <w:r>
              <w:rPr>
                <w:rFonts w:hint="default" w:ascii="宋体" w:hAnsi="宋体" w:eastAsia="宋体" w:cs="宋体"/>
                <w:sz w:val="13"/>
                <w:szCs w:val="13"/>
                <w:lang w:val="en-US" w:eastAsia="zh-CN"/>
              </w:rPr>
              <w:t>重点部位可视化、消防控制室远程查岗监管功能</w:t>
            </w:r>
            <w:r>
              <w:rPr>
                <w:rFonts w:hint="eastAsia" w:ascii="宋体" w:hAnsi="宋体" w:eastAsia="宋体" w:cs="宋体"/>
                <w:sz w:val="13"/>
                <w:szCs w:val="13"/>
                <w:lang w:val="en-US" w:eastAsia="zh-CN"/>
              </w:rPr>
              <w:t>、</w:t>
            </w:r>
            <w:r>
              <w:rPr>
                <w:rFonts w:hint="eastAsia" w:cs="宋体"/>
                <w:sz w:val="13"/>
                <w:szCs w:val="13"/>
                <w:lang w:val="en-US" w:eastAsia="zh-CN"/>
              </w:rPr>
              <w:t>智慧消防安全隐患巡查功能、智慧用电安全云监测功能、建筑消防用水监测功能、建筑消防喷淋末端压力监测功能</w:t>
            </w:r>
          </w:p>
        </w:tc>
      </w:tr>
      <w:tr w14:paraId="4113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8" w:type="dxa"/>
            <w:vAlign w:val="center"/>
          </w:tcPr>
          <w:p w14:paraId="6972C895">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404" w:type="dxa"/>
            <w:vAlign w:val="center"/>
          </w:tcPr>
          <w:p w14:paraId="03B79A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室内其他设备设施</w:t>
            </w:r>
          </w:p>
        </w:tc>
        <w:tc>
          <w:tcPr>
            <w:tcW w:w="1182" w:type="dxa"/>
            <w:vAlign w:val="center"/>
          </w:tcPr>
          <w:p w14:paraId="02EA6C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76" w:type="dxa"/>
            <w:vAlign w:val="center"/>
          </w:tcPr>
          <w:p w14:paraId="2740AC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47" w:type="dxa"/>
            <w:vAlign w:val="center"/>
          </w:tcPr>
          <w:p w14:paraId="522778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381" w:type="dxa"/>
            <w:vAlign w:val="center"/>
          </w:tcPr>
          <w:p w14:paraId="330A89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bl>
    <w:p w14:paraId="7898D331">
      <w:pPr>
        <w:keepNext w:val="0"/>
        <w:keepLines w:val="0"/>
        <w:pageBreakBefore w:val="0"/>
        <w:widowControl w:val="0"/>
        <w:kinsoku/>
        <w:overflowPunct/>
        <w:topLinePunct w:val="0"/>
        <w:autoSpaceDE w:val="0"/>
        <w:autoSpaceDN w:val="0"/>
        <w:bidi w:val="0"/>
        <w:adjustRightInd w:val="0"/>
        <w:snapToGrid w:val="0"/>
        <w:spacing w:before="0" w:line="360" w:lineRule="auto"/>
        <w:ind w:left="0" w:leftChars="0" w:right="0" w:firstLine="422" w:firstLineChars="200"/>
        <w:jc w:val="left"/>
        <w:textAlignment w:val="auto"/>
        <w:rPr>
          <w:rFonts w:hint="eastAsia"/>
          <w:b/>
          <w:bCs/>
          <w:lang w:val="en-US" w:eastAsia="zh-CN"/>
        </w:rPr>
      </w:pPr>
    </w:p>
    <w:p w14:paraId="58069BC5">
      <w:pPr>
        <w:keepNext w:val="0"/>
        <w:keepLines w:val="0"/>
        <w:pageBreakBefore w:val="0"/>
        <w:widowControl w:val="0"/>
        <w:kinsoku/>
        <w:overflowPunct/>
        <w:topLinePunct w:val="0"/>
        <w:autoSpaceDE w:val="0"/>
        <w:autoSpaceDN w:val="0"/>
        <w:bidi w:val="0"/>
        <w:adjustRightInd w:val="0"/>
        <w:snapToGrid w:val="0"/>
        <w:spacing w:before="0" w:line="360" w:lineRule="auto"/>
        <w:ind w:left="0" w:leftChars="0" w:right="0" w:firstLine="422" w:firstLineChars="200"/>
        <w:jc w:val="left"/>
        <w:textAlignment w:val="auto"/>
        <w:rPr>
          <w:rFonts w:hint="eastAsia" w:eastAsia="宋体"/>
          <w:b/>
          <w:sz w:val="24"/>
          <w:lang w:val="en-US" w:eastAsia="zh-CN"/>
        </w:rPr>
      </w:pPr>
      <w:r>
        <w:rPr>
          <w:rFonts w:hint="eastAsia"/>
          <w:b/>
          <w:bCs/>
          <w:lang w:val="en-US" w:eastAsia="zh-CN"/>
        </w:rPr>
        <w:t>（三）</w:t>
      </w:r>
      <w:r>
        <w:rPr>
          <w:rFonts w:hint="eastAsia"/>
          <w:b/>
          <w:sz w:val="24"/>
          <w:lang w:val="en-US" w:eastAsia="zh-CN"/>
        </w:rPr>
        <w:t>项目期限</w:t>
      </w:r>
    </w:p>
    <w:p w14:paraId="371371CC">
      <w:pPr>
        <w:pStyle w:val="3"/>
        <w:keepNext w:val="0"/>
        <w:keepLines w:val="0"/>
        <w:pageBreakBefore w:val="0"/>
        <w:widowControl w:val="0"/>
        <w:tabs>
          <w:tab w:val="left" w:pos="5151"/>
          <w:tab w:val="left" w:pos="6032"/>
          <w:tab w:val="left" w:pos="7833"/>
          <w:tab w:val="left" w:pos="8552"/>
          <w:tab w:val="left" w:pos="9270"/>
          <w:tab w:val="left" w:pos="10124"/>
        </w:tabs>
        <w:kinsoku/>
        <w:wordWrap w:val="0"/>
        <w:overflowPunct/>
        <w:topLinePunct w:val="0"/>
        <w:autoSpaceDE w:val="0"/>
        <w:autoSpaceDN w:val="0"/>
        <w:bidi w:val="0"/>
        <w:adjustRightInd w:val="0"/>
        <w:snapToGrid w:val="0"/>
        <w:spacing w:before="0" w:line="360" w:lineRule="auto"/>
        <w:ind w:left="0" w:leftChars="0" w:right="0" w:firstLine="480" w:firstLineChars="200"/>
        <w:textAlignment w:val="auto"/>
        <w:rPr>
          <w:u w:val="none"/>
        </w:rPr>
      </w:pPr>
      <w:r>
        <w:t>1</w:t>
      </w:r>
      <w:r>
        <w:rPr>
          <w:rFonts w:hint="eastAsia"/>
          <w:lang w:val="en-US" w:eastAsia="zh-CN"/>
        </w:rPr>
        <w:t>.</w:t>
      </w:r>
      <w:r>
        <w:rPr>
          <w:u w:val="none"/>
        </w:rPr>
        <w:t>本次消防系统维护</w:t>
      </w:r>
      <w:r>
        <w:rPr>
          <w:rFonts w:hint="eastAsia"/>
          <w:u w:val="none"/>
          <w:lang w:val="en-US" w:eastAsia="zh-CN"/>
        </w:rPr>
        <w:t>期限</w:t>
      </w:r>
      <w:r>
        <w:rPr>
          <w:u w:val="none"/>
        </w:rPr>
        <w:t>为</w:t>
      </w:r>
      <w:r>
        <w:rPr>
          <w:rFonts w:hint="eastAsia"/>
          <w:spacing w:val="-1"/>
          <w:u w:val="none"/>
          <w:lang w:val="en-US" w:eastAsia="zh-CN"/>
        </w:rPr>
        <w:t>壹</w:t>
      </w:r>
      <w:r>
        <w:rPr>
          <w:rFonts w:hint="eastAsia"/>
          <w:u w:val="none"/>
          <w:lang w:eastAsia="zh-CN"/>
        </w:rPr>
        <w:t>年</w:t>
      </w:r>
      <w:r>
        <w:rPr>
          <w:u w:val="none"/>
        </w:rPr>
        <w:t>。</w:t>
      </w:r>
    </w:p>
    <w:p w14:paraId="38BF5EBC">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u w:val="none"/>
        </w:rPr>
      </w:pPr>
      <w:r>
        <w:rPr>
          <w:rFonts w:hint="eastAsia"/>
          <w:lang w:val="en-US" w:eastAsia="zh-CN"/>
        </w:rPr>
        <w:t>2.</w:t>
      </w:r>
      <w:r>
        <w:rPr>
          <w:u w:val="none"/>
        </w:rPr>
        <w:t>费用支付方式：</w:t>
      </w:r>
    </w:p>
    <w:p w14:paraId="0ABBD185">
      <w:pPr>
        <w:pStyle w:val="3"/>
        <w:keepNext w:val="0"/>
        <w:keepLines w:val="0"/>
        <w:pageBreakBefore w:val="0"/>
        <w:widowControl w:val="0"/>
        <w:kinsoku/>
        <w:overflowPunct/>
        <w:topLinePunct w:val="0"/>
        <w:autoSpaceDE w:val="0"/>
        <w:autoSpaceDN w:val="0"/>
        <w:bidi w:val="0"/>
        <w:adjustRightInd w:val="0"/>
        <w:snapToGrid w:val="0"/>
        <w:spacing w:before="0" w:line="360" w:lineRule="auto"/>
        <w:ind w:left="0" w:leftChars="0" w:right="0" w:firstLine="480" w:firstLineChars="200"/>
        <w:textAlignment w:val="auto"/>
        <w:rPr>
          <w:rFonts w:hint="eastAsia" w:cs="宋体"/>
          <w:sz w:val="24"/>
          <w:szCs w:val="24"/>
          <w:lang w:eastAsia="zh-CN"/>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)服务费按月结算，每月值守服务结束后下一月办理上一月服务费的支付手续。如</w:t>
      </w:r>
      <w:r>
        <w:rPr>
          <w:rFonts w:hint="eastAsia" w:cs="宋体"/>
          <w:sz w:val="24"/>
          <w:szCs w:val="24"/>
          <w:lang w:val="en-US" w:eastAsia="zh-CN"/>
        </w:rPr>
        <w:t>服务单位</w:t>
      </w:r>
      <w:r>
        <w:rPr>
          <w:rFonts w:hint="eastAsia" w:cs="宋体"/>
          <w:sz w:val="24"/>
          <w:szCs w:val="24"/>
          <w:lang w:eastAsia="zh-CN"/>
        </w:rPr>
        <w:t>提供的服务不足一个月时按平均价按日计算服务费。</w:t>
      </w:r>
    </w:p>
    <w:p w14:paraId="485FC3AC">
      <w:pPr>
        <w:pStyle w:val="3"/>
        <w:keepNext w:val="0"/>
        <w:keepLines w:val="0"/>
        <w:pageBreakBefore w:val="0"/>
        <w:widowControl w:val="0"/>
        <w:kinsoku/>
        <w:overflowPunct/>
        <w:topLinePunct w:val="0"/>
        <w:autoSpaceDE w:val="0"/>
        <w:autoSpaceDN w:val="0"/>
        <w:bidi w:val="0"/>
        <w:adjustRightInd w:val="0"/>
        <w:snapToGrid w:val="0"/>
        <w:spacing w:before="0" w:line="360" w:lineRule="auto"/>
        <w:ind w:left="0" w:leftChars="0" w:right="0" w:firstLine="480" w:firstLineChars="200"/>
        <w:textAlignment w:val="auto"/>
        <w:rPr>
          <w:rFonts w:hint="eastAsia" w:cs="宋体"/>
          <w:color w:val="000000"/>
          <w:sz w:val="24"/>
          <w:szCs w:val="24"/>
          <w:lang w:val="en-US" w:eastAsia="zh-CN"/>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cs="宋体"/>
          <w:sz w:val="24"/>
          <w:szCs w:val="24"/>
          <w:lang w:val="en-US" w:eastAsia="zh-CN"/>
        </w:rPr>
        <w:t>服务费</w:t>
      </w:r>
      <w:r>
        <w:rPr>
          <w:rFonts w:hint="eastAsia" w:cs="宋体"/>
          <w:color w:val="000000"/>
          <w:sz w:val="24"/>
          <w:szCs w:val="24"/>
          <w:lang w:val="en-US" w:eastAsia="zh-CN"/>
        </w:rPr>
        <w:t>根据每月考核情况结算上一月服务费用。具体考核标准见《广东省中医院贵州医院消防控制室值守服务月度考核评分表》。如综合考核结果不合格(满分100分，考核得分&gt;90分，为优秀;85分≤考核得分&lt;90分，为良好;80分≤考核得分&lt;85分，为合格;考核得分&lt;80分，为不合格)，甲方有权终止合同，而且不用承担责任，合同终止后，实际发生费用按实际服务日期结算。如考核得分&lt;85分时，按（考核得分-85分）*3000元/分计考核扣除。</w:t>
      </w:r>
    </w:p>
    <w:p w14:paraId="21AF0A00">
      <w:pPr>
        <w:pStyle w:val="3"/>
        <w:keepNext w:val="0"/>
        <w:keepLines w:val="0"/>
        <w:pageBreakBefore w:val="0"/>
        <w:widowControl w:val="0"/>
        <w:kinsoku/>
        <w:overflowPunct/>
        <w:topLinePunct w:val="0"/>
        <w:autoSpaceDE w:val="0"/>
        <w:autoSpaceDN w:val="0"/>
        <w:bidi w:val="0"/>
        <w:adjustRightInd w:val="0"/>
        <w:snapToGrid w:val="0"/>
        <w:spacing w:before="0" w:line="360" w:lineRule="auto"/>
        <w:ind w:left="0" w:leftChars="0" w:right="0" w:firstLine="480" w:firstLineChars="200"/>
        <w:textAlignment w:val="auto"/>
        <w:rPr>
          <w:rFonts w:hint="default" w:cs="宋体"/>
          <w:sz w:val="24"/>
          <w:szCs w:val="24"/>
          <w:lang w:val="en-US" w:eastAsia="zh-CN"/>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)服务费</w:t>
      </w:r>
      <w:r>
        <w:rPr>
          <w:rFonts w:hint="eastAsia" w:cs="宋体"/>
          <w:sz w:val="24"/>
          <w:szCs w:val="24"/>
          <w:lang w:val="en-US" w:eastAsia="zh-CN"/>
        </w:rPr>
        <w:t>实行扣除后支付</w:t>
      </w:r>
      <w:r>
        <w:rPr>
          <w:rFonts w:hint="eastAsia" w:cs="宋体"/>
          <w:sz w:val="24"/>
          <w:szCs w:val="24"/>
          <w:lang w:eastAsia="zh-CN"/>
        </w:rPr>
        <w:t>，</w:t>
      </w:r>
      <w:r>
        <w:rPr>
          <w:rFonts w:hint="eastAsia" w:cs="宋体"/>
          <w:sz w:val="24"/>
          <w:szCs w:val="24"/>
          <w:lang w:val="en-US" w:eastAsia="zh-CN"/>
        </w:rPr>
        <w:t>每月服务费结算根据考核扣除</w:t>
      </w:r>
      <w:r>
        <w:rPr>
          <w:rFonts w:hint="eastAsia" w:cs="宋体"/>
          <w:color w:val="000000"/>
          <w:sz w:val="24"/>
          <w:szCs w:val="24"/>
          <w:lang w:val="en-US" w:eastAsia="zh-CN"/>
        </w:rPr>
        <w:t>与其他费用扣除后支付。（其他费用扣除包括但不限于，如当月有关部门检查扣罚、损坏赔偿、违反医院规章制度被处罚等）。</w:t>
      </w:r>
    </w:p>
    <w:p w14:paraId="57D9E1C0">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0" w:leftChars="0" w:right="0" w:rightChars="0" w:firstLine="482" w:firstLineChars="200"/>
        <w:textAlignment w:val="auto"/>
        <w:rPr>
          <w:rFonts w:hint="default" w:ascii="宋体" w:hAnsi="宋体" w:eastAsia="宋体" w:cs="宋体"/>
          <w:b/>
          <w:sz w:val="24"/>
          <w:szCs w:val="22"/>
          <w:lang w:val="en-US" w:eastAsia="zh-CN" w:bidi="zh-CN"/>
        </w:rPr>
      </w:pPr>
      <w:r>
        <w:rPr>
          <w:rFonts w:hint="eastAsia" w:cs="宋体"/>
          <w:b/>
          <w:sz w:val="24"/>
          <w:szCs w:val="22"/>
          <w:lang w:val="en-US" w:eastAsia="zh-CN" w:bidi="zh-CN"/>
        </w:rPr>
        <w:t>二、值守服务</w:t>
      </w:r>
      <w:r>
        <w:rPr>
          <w:rFonts w:ascii="宋体" w:hAnsi="宋体" w:eastAsia="宋体" w:cs="宋体"/>
          <w:b/>
          <w:sz w:val="24"/>
          <w:szCs w:val="22"/>
          <w:lang w:val="zh-CN" w:eastAsia="zh-CN" w:bidi="zh-CN"/>
        </w:rPr>
        <w:t>质量</w:t>
      </w:r>
      <w:r>
        <w:rPr>
          <w:rFonts w:hint="eastAsia" w:cs="宋体"/>
          <w:b/>
          <w:sz w:val="24"/>
          <w:szCs w:val="22"/>
          <w:lang w:val="en-US" w:eastAsia="zh-CN" w:bidi="zh-CN"/>
        </w:rPr>
        <w:t>要求</w:t>
      </w:r>
    </w:p>
    <w:p w14:paraId="316A492D">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1.服务单位必须做出书面承诺：如获中标，服务单位应针对性对采购人消防安全实际，制定各项安全操作规程和各项消防安全管理制度，以及火灾应急预案，系统故障应对预案，建立奖惩机制，每周制定值守计划，严格管理值守人员履职尽责，遵守采购人规章制度及相关法律法规。相关制度计划报采购人审核后严格落实，非特殊情况不得自行更改。值守服务必须严格实行双人双岗，服务单位应按月制定人员值班表交采购人审核后执行，确保及时发现并准确处置火灾和故障报警。</w:t>
      </w:r>
    </w:p>
    <w:p w14:paraId="5EA09408">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2.服务单位必须做出书面承诺：如获中标，服务单位在合同签订后7天内需完成本项目所有系统的设备设施位置及操作规范的掌握，全面系统掌握采购人消防系统现状及存在的故障问题清单，并形成文档提交采购人审核，否则采购人有权终止合同。（投标时须提供承诺函，格式自拟）</w:t>
      </w:r>
    </w:p>
    <w:p w14:paraId="5DBC1B2D">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3.服务单位必须做出书面承诺：如获中标，消防控制中心值班人员必须具备相应资质及技能，并报采购人审核同意方可上岗，日常服从采购人管理，听从管理人员安排调度，对于不胜任者或不配合采购人工作的值守人员，应第一时间撤离值守岗位，更换值守人员。（投标时须提供承诺函，须表达该项内容，格式自拟）</w:t>
      </w:r>
    </w:p>
    <w:p w14:paraId="68539474">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4.消防控制中心的值班人员必须持有四级/中级或以上技能等级建（构）筑物消防员职业资格证书或消防设施操作员职业资格证书，年龄在45周岁及以下，身体健康和健全，无犯罪记录，熟悉消防控制系统火灾事故紧急处理程序，特别是要熟悉本项目的火灾自动报警及联动控制系统，消防水系统运行原理。证书复印件存放在消防控制室备查。</w:t>
      </w:r>
    </w:p>
    <w:p w14:paraId="12E8C04F">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5.消防控制室值班人员应严格遵守消防控制室的各项安全操作规程和各项消防安全管理制度，熟练掌握火灾应急预案，熟练掌握消防设施设备操作技能。值班时负责报警部位的核实和紧急情况的处置，负责自动消防系统的操作；具备消防设备设施基本维修技能，能处置紧急维修任务；还要兼顾和掌握视频监控操作管理，应急电话接听，应急小单元接听，治安综合事件报告处理。并认真填写《消防控制室值班记录》。有火警时延误报告的，由服务单位承担全部责任。值班人员每漏岗1人罚款1000元/次，当月超过2次解除合同并追究服务单位责任，投标时须对该条款做出承诺（投标时须提供承诺函，格式自拟）。</w:t>
      </w:r>
    </w:p>
    <w:p w14:paraId="1A2B06E7">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6.报警联动控制设备的常态应设置在自动控制状态。如报警联动控制设备因需要设置在手动控制状态时，亦应确保有火灾时能迅速将手动控制转换为自动控制的可靠措施:严禁将自动喷水灭火系统和联动控制的防火卷帘等防火分隔设施设置在手动控制状态。</w:t>
      </w:r>
    </w:p>
    <w:p w14:paraId="3805565B">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7.消防控制室应当实行全年7(天)x24 小时专人值班制度，确保及时发现并准确处置火灾和故障报警及报修。</w:t>
      </w:r>
    </w:p>
    <w:p w14:paraId="1428A3F9">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8.消防控制室值班人员每班必须至少2人持证上岗，其中，一名为值机人负责值机，进行自动消防系统的操作:另一名为传达人，负责值班时对火灾报警部位的核实和拨打火警电话、启动单位内部应急预案等紧急情况的处置。</w:t>
      </w:r>
    </w:p>
    <w:p w14:paraId="4E40DB58">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9.消防控制室值班人员应按时上岗，着工衣、佩戴工卡，言语举止文明礼貌。并做好交接班工作，坚守岗位，尽职尽责，做好各项记录工作，不得脱岗、睡岗，严禁值班前饮酒或在值班时进行会客和娱乐活动，因确有特殊情况不能到岗的，应提前1天向采购人请假，经批准后，由服务单位安排其他持证的人员代替值班。</w:t>
      </w:r>
    </w:p>
    <w:p w14:paraId="534F937F">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10.消防控制室值班人员应认真做好报警设备检查，发生火灾信号处置、灭火操作设备检查和设备运行情况等各项登记、记录工作。每次值班开始时，必须对系统功能进行一次检查测试，保障系统正常各项功能充分发挥，如有不能处理的故障，必须立即向医院报告，并做好登记。</w:t>
      </w:r>
    </w:p>
    <w:p w14:paraId="66E9F0C8">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11.消防控制室值班人员要爱护消防控制室的设备设施，保持控制室内的卫生，发生损毁丢失照价赔偿，并承担相应法律责任。严禁无关人员进入消防控制室，做好人员进出登记，防止他人随意触动设备。</w:t>
      </w:r>
    </w:p>
    <w:p w14:paraId="131CAC64">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12.消防控制室内严禁存放易燃易爆危险物品，堆放与设备运行无关的物品或杂物或与工作无关的私人物品，严禁与消防控制室无关的电气线路和管道穿过。消防控制室内严禁吸烟或动用明火，及其他不安全不文明行为。</w:t>
      </w:r>
    </w:p>
    <w:p w14:paraId="37CE3580">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13.未经医院同意严禁擅自关闭、停用、重置消防设施。</w:t>
      </w:r>
    </w:p>
    <w:p w14:paraId="4B77E130">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14.值班时不得擅离职守、玩忽职守，不得玩手机玩游戏，做与值守无关的事情，必须高度警惕，密切注视消防系统及相关设备设施的动态，保证消防系统安全运转及其设备功能作用的充分发挥。</w:t>
      </w:r>
    </w:p>
    <w:p w14:paraId="62CC8CB3">
      <w:pPr>
        <w:adjustRightInd w:val="0"/>
        <w:snapToGrid w:val="0"/>
        <w:spacing w:line="480" w:lineRule="auto"/>
        <w:rPr>
          <w:b/>
          <w:color w:val="auto"/>
          <w:szCs w:val="21"/>
          <w:highlight w:val="none"/>
        </w:rPr>
      </w:pPr>
      <w:r>
        <w:rPr>
          <w:rFonts w:hint="eastAsia"/>
          <w:b/>
          <w:color w:val="auto"/>
          <w:szCs w:val="21"/>
          <w:highlight w:val="none"/>
        </w:rPr>
        <w:t xml:space="preserve">附件1 </w:t>
      </w:r>
    </w:p>
    <w:p w14:paraId="1EAC88E5">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广东省中医院贵州医院消防控制室值守服务</w:t>
      </w:r>
      <w:r>
        <w:rPr>
          <w:rFonts w:hint="eastAsia" w:ascii="宋体" w:hAnsi="宋体"/>
          <w:b/>
          <w:color w:val="auto"/>
          <w:sz w:val="28"/>
          <w:szCs w:val="28"/>
          <w:highlight w:val="none"/>
          <w:lang w:eastAsia="zh-CN"/>
        </w:rPr>
        <w:t>月度</w:t>
      </w:r>
      <w:r>
        <w:rPr>
          <w:rFonts w:hint="eastAsia" w:ascii="宋体" w:hAnsi="宋体"/>
          <w:b/>
          <w:color w:val="auto"/>
          <w:sz w:val="28"/>
          <w:szCs w:val="28"/>
          <w:highlight w:val="none"/>
        </w:rPr>
        <w:t>考核评分表</w:t>
      </w:r>
    </w:p>
    <w:p w14:paraId="501CA789">
      <w:pPr>
        <w:ind w:firstLine="4830"/>
        <w:rPr>
          <w:rFonts w:ascii="宋体" w:hAnsi="宋体"/>
          <w:color w:val="auto"/>
          <w:szCs w:val="21"/>
          <w:highlight w:val="none"/>
        </w:rPr>
      </w:pPr>
    </w:p>
    <w:tbl>
      <w:tblPr>
        <w:tblStyle w:val="7"/>
        <w:tblW w:w="107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8"/>
        <w:gridCol w:w="5399"/>
        <w:gridCol w:w="1750"/>
        <w:gridCol w:w="2467"/>
      </w:tblGrid>
      <w:tr w14:paraId="5608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2D6BEB90">
            <w:pPr>
              <w:jc w:val="center"/>
              <w:rPr>
                <w:rFonts w:hint="default"/>
                <w:color w:val="auto"/>
                <w:highlight w:val="none"/>
              </w:rPr>
            </w:pPr>
            <w:r>
              <w:rPr>
                <w:rFonts w:hint="default"/>
                <w:color w:val="auto"/>
                <w:highlight w:val="none"/>
                <w:lang w:val="en-US" w:eastAsia="zh-CN"/>
              </w:rPr>
              <w:t>项目</w:t>
            </w:r>
          </w:p>
        </w:tc>
        <w:tc>
          <w:tcPr>
            <w:tcW w:w="5399" w:type="dxa"/>
            <w:tcBorders>
              <w:top w:val="single" w:color="auto" w:sz="4" w:space="0"/>
              <w:left w:val="single" w:color="auto" w:sz="4" w:space="0"/>
              <w:bottom w:val="single" w:color="auto" w:sz="4" w:space="0"/>
              <w:right w:val="single" w:color="auto" w:sz="4" w:space="0"/>
            </w:tcBorders>
            <w:noWrap w:val="0"/>
            <w:vAlign w:val="center"/>
          </w:tcPr>
          <w:p w14:paraId="4BA8A9C8">
            <w:pPr>
              <w:jc w:val="center"/>
              <w:rPr>
                <w:rFonts w:hint="default"/>
                <w:color w:val="auto"/>
                <w:highlight w:val="none"/>
              </w:rPr>
            </w:pPr>
            <w:r>
              <w:rPr>
                <w:rFonts w:hint="default"/>
                <w:color w:val="auto"/>
                <w:highlight w:val="none"/>
                <w:lang w:val="en-US" w:eastAsia="zh-CN"/>
              </w:rPr>
              <w:t>服务质量考核内容</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56BA724E">
            <w:pPr>
              <w:jc w:val="center"/>
              <w:rPr>
                <w:rFonts w:hint="default"/>
                <w:color w:val="auto"/>
                <w:highlight w:val="none"/>
              </w:rPr>
            </w:pPr>
            <w:r>
              <w:rPr>
                <w:rFonts w:hint="default"/>
                <w:color w:val="auto"/>
                <w:highlight w:val="none"/>
                <w:lang w:val="en-US" w:eastAsia="zh-CN"/>
              </w:rPr>
              <w:t>得分</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739C21D0">
            <w:pPr>
              <w:jc w:val="center"/>
              <w:rPr>
                <w:rFonts w:hint="default"/>
                <w:color w:val="auto"/>
                <w:highlight w:val="none"/>
              </w:rPr>
            </w:pPr>
            <w:r>
              <w:rPr>
                <w:rFonts w:hint="default"/>
                <w:color w:val="auto"/>
                <w:highlight w:val="none"/>
                <w:lang w:val="en-US" w:eastAsia="zh-CN"/>
              </w:rPr>
              <w:t>备注</w:t>
            </w:r>
          </w:p>
        </w:tc>
      </w:tr>
      <w:tr w14:paraId="259B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4" w:hRule="atLeast"/>
          <w:jc w:val="center"/>
        </w:trPr>
        <w:tc>
          <w:tcPr>
            <w:tcW w:w="1118" w:type="dxa"/>
            <w:vMerge w:val="restart"/>
            <w:tcBorders>
              <w:top w:val="nil"/>
              <w:left w:val="single" w:color="000000" w:sz="4" w:space="0"/>
              <w:right w:val="single" w:color="000000" w:sz="4" w:space="0"/>
            </w:tcBorders>
            <w:noWrap w:val="0"/>
            <w:vAlign w:val="center"/>
          </w:tcPr>
          <w:p w14:paraId="30989425">
            <w:pPr>
              <w:rPr>
                <w:rFonts w:hint="default"/>
                <w:color w:val="auto"/>
                <w:highlight w:val="none"/>
              </w:rPr>
            </w:pPr>
            <w:r>
              <w:rPr>
                <w:rFonts w:hint="eastAsia"/>
                <w:color w:val="auto"/>
                <w:highlight w:val="none"/>
                <w:lang w:val="en-US" w:eastAsia="zh-CN"/>
              </w:rPr>
              <w:t>管理</w:t>
            </w:r>
            <w:r>
              <w:rPr>
                <w:color w:val="auto"/>
                <w:highlight w:val="none"/>
                <w:lang w:val="en-US" w:eastAsia="zh-CN"/>
              </w:rPr>
              <w:t>情况（</w:t>
            </w:r>
            <w:r>
              <w:rPr>
                <w:rFonts w:hint="default"/>
                <w:color w:val="auto"/>
                <w:highlight w:val="none"/>
                <w:lang w:val="en-US" w:eastAsia="zh-CN"/>
              </w:rPr>
              <w:t>30</w:t>
            </w:r>
            <w:r>
              <w:rPr>
                <w:rFonts w:hint="eastAsia"/>
                <w:color w:val="auto"/>
                <w:highlight w:val="none"/>
                <w:lang w:val="en-US" w:eastAsia="zh-CN"/>
              </w:rPr>
              <w:t>分）</w:t>
            </w: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23C25A9B">
            <w:pPr>
              <w:rPr>
                <w:rFonts w:hint="default" w:eastAsia="宋体"/>
                <w:color w:val="auto"/>
                <w:highlight w:val="none"/>
                <w:lang w:val="en-US" w:eastAsia="zh-CN"/>
              </w:rPr>
            </w:pPr>
            <w:r>
              <w:rPr>
                <w:rFonts w:hint="eastAsia"/>
                <w:color w:val="auto"/>
                <w:highlight w:val="none"/>
              </w:rPr>
              <w:t>制定各项安全操作规程和各项消防安全管理制度，以及火灾应急预案，系统故障应对预案，建立奖惩机制，每周制定值守计划，严格管理值守人员履职尽责，遵守医院规章制度及相关法律法规。相关制度计划报医院审核后严格落实，非特殊情况不得自行更改。</w:t>
            </w:r>
            <w:r>
              <w:rPr>
                <w:rFonts w:hint="eastAsia"/>
                <w:color w:val="auto"/>
                <w:highlight w:val="none"/>
                <w:lang w:val="en-US" w:eastAsia="zh-CN"/>
              </w:rPr>
              <w:t>每项扣3分。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1A01763F">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2A6FE431">
            <w:pPr>
              <w:rPr>
                <w:rFonts w:hint="default"/>
                <w:color w:val="auto"/>
                <w:highlight w:val="none"/>
              </w:rPr>
            </w:pPr>
          </w:p>
        </w:tc>
      </w:tr>
      <w:tr w14:paraId="1E48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1118" w:type="dxa"/>
            <w:vMerge w:val="continue"/>
            <w:tcBorders>
              <w:left w:val="single" w:color="000000" w:sz="4" w:space="0"/>
              <w:right w:val="single" w:color="000000" w:sz="4" w:space="0"/>
            </w:tcBorders>
            <w:noWrap w:val="0"/>
            <w:vAlign w:val="center"/>
          </w:tcPr>
          <w:p w14:paraId="62AD1D19">
            <w:pPr>
              <w:rPr>
                <w:rFonts w:hint="default"/>
                <w:color w:val="auto"/>
                <w:highlight w:val="none"/>
              </w:rPr>
            </w:pP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49304AB5">
            <w:pPr>
              <w:rPr>
                <w:rFonts w:hint="default"/>
                <w:color w:val="auto"/>
                <w:highlight w:val="none"/>
                <w:lang w:val="en-US" w:eastAsia="zh-CN"/>
              </w:rPr>
            </w:pPr>
            <w:r>
              <w:rPr>
                <w:rFonts w:hint="eastAsia" w:eastAsia="宋体"/>
                <w:color w:val="auto"/>
                <w:highlight w:val="none"/>
                <w:lang w:val="en-US" w:eastAsia="zh-CN"/>
              </w:rPr>
              <w:t>值守必须严格实行双人双岗，按月制定人员值班表交医院审核后执行，确保消防控制室全年7(天)x24 小时专人值班，确保及时发现并准确处置火灾和故障报警及报修。每项扣3分。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E6B026A">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5290A0B8">
            <w:pPr>
              <w:rPr>
                <w:rFonts w:hint="default"/>
                <w:color w:val="auto"/>
                <w:highlight w:val="none"/>
              </w:rPr>
            </w:pPr>
          </w:p>
        </w:tc>
      </w:tr>
      <w:tr w14:paraId="1702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jc w:val="center"/>
        </w:trPr>
        <w:tc>
          <w:tcPr>
            <w:tcW w:w="1118" w:type="dxa"/>
            <w:vMerge w:val="continue"/>
            <w:tcBorders>
              <w:left w:val="single" w:color="000000" w:sz="4" w:space="0"/>
              <w:right w:val="single" w:color="000000" w:sz="4" w:space="0"/>
            </w:tcBorders>
            <w:noWrap w:val="0"/>
            <w:vAlign w:val="center"/>
          </w:tcPr>
          <w:p w14:paraId="121679E5">
            <w:pPr>
              <w:rPr>
                <w:rFonts w:hint="default"/>
                <w:color w:val="auto"/>
                <w:highlight w:val="none"/>
              </w:rPr>
            </w:pP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2AED1829">
            <w:pPr>
              <w:rPr>
                <w:rFonts w:hint="default" w:eastAsia="宋体"/>
                <w:color w:val="auto"/>
                <w:highlight w:val="none"/>
                <w:lang w:val="en-US" w:eastAsia="zh-CN"/>
              </w:rPr>
            </w:pPr>
            <w:r>
              <w:rPr>
                <w:rFonts w:hint="eastAsia" w:eastAsia="宋体"/>
                <w:color w:val="auto"/>
                <w:highlight w:val="none"/>
                <w:lang w:val="en-US" w:eastAsia="zh-CN"/>
              </w:rPr>
              <w:t>消防控制中心值班人员必须报医院审核同意方可上岗，服从医院管理，听从医院管理人员安排调度，对于不胜任者或不配合医院工作的值守人员，应第一时间撤离医院值守岗位，更换值守人员。每项扣3分。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7124BB6B">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182147D4">
            <w:pPr>
              <w:rPr>
                <w:rFonts w:hint="default"/>
                <w:color w:val="auto"/>
                <w:highlight w:val="none"/>
              </w:rPr>
            </w:pPr>
          </w:p>
        </w:tc>
      </w:tr>
      <w:tr w14:paraId="7F0B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jc w:val="center"/>
        </w:trPr>
        <w:tc>
          <w:tcPr>
            <w:tcW w:w="1118" w:type="dxa"/>
            <w:vMerge w:val="continue"/>
            <w:tcBorders>
              <w:left w:val="single" w:color="000000" w:sz="4" w:space="0"/>
              <w:right w:val="single" w:color="000000" w:sz="4" w:space="0"/>
            </w:tcBorders>
            <w:noWrap w:val="0"/>
            <w:vAlign w:val="center"/>
          </w:tcPr>
          <w:p w14:paraId="083D3717">
            <w:pPr>
              <w:rPr>
                <w:rFonts w:hint="default"/>
                <w:color w:val="auto"/>
                <w:highlight w:val="none"/>
              </w:rPr>
            </w:pP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5F9036B9">
            <w:pPr>
              <w:rPr>
                <w:rFonts w:hint="eastAsia" w:eastAsia="宋体"/>
                <w:color w:val="auto"/>
                <w:highlight w:val="none"/>
                <w:lang w:val="en-US" w:eastAsia="zh-CN"/>
              </w:rPr>
            </w:pPr>
            <w:r>
              <w:rPr>
                <w:rFonts w:hint="default" w:eastAsia="宋体"/>
                <w:color w:val="auto"/>
                <w:highlight w:val="none"/>
                <w:lang w:val="en-US" w:eastAsia="zh-CN"/>
              </w:rPr>
              <w:t>值班人员必须持有四级/中级或以上技能等级建（构）筑物消防员职业资格证书或消防设施操作员职业资格证书，年龄在45周岁及以下，身体健康和健全，无犯罪记录，熟悉消防控制系统火灾事故紧急处理程序，特别是要熟悉本项目的火灾自动报警及联动控制系统，消防水系统运行原理。证书复印件存放在消防控制室备查。</w:t>
            </w:r>
            <w:r>
              <w:rPr>
                <w:rFonts w:hint="eastAsia" w:eastAsia="宋体"/>
                <w:color w:val="auto"/>
                <w:highlight w:val="none"/>
                <w:lang w:val="en-US" w:eastAsia="zh-CN"/>
              </w:rPr>
              <w:t>每项扣3分。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31720F3E">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18E73E08">
            <w:pPr>
              <w:rPr>
                <w:rFonts w:hint="default"/>
                <w:color w:val="auto"/>
                <w:highlight w:val="none"/>
              </w:rPr>
            </w:pPr>
          </w:p>
        </w:tc>
      </w:tr>
      <w:tr w14:paraId="7949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jc w:val="center"/>
        </w:trPr>
        <w:tc>
          <w:tcPr>
            <w:tcW w:w="1118" w:type="dxa"/>
            <w:vMerge w:val="continue"/>
            <w:tcBorders>
              <w:left w:val="single" w:color="000000" w:sz="4" w:space="0"/>
              <w:bottom w:val="single" w:color="000000" w:sz="4" w:space="0"/>
              <w:right w:val="single" w:color="000000" w:sz="4" w:space="0"/>
            </w:tcBorders>
            <w:noWrap w:val="0"/>
            <w:vAlign w:val="center"/>
          </w:tcPr>
          <w:p w14:paraId="6693FE1A">
            <w:pPr>
              <w:rPr>
                <w:rFonts w:hint="default"/>
                <w:color w:val="auto"/>
                <w:highlight w:val="none"/>
              </w:rPr>
            </w:pP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712E8712">
            <w:pPr>
              <w:rPr>
                <w:rFonts w:hint="eastAsia" w:eastAsia="宋体"/>
                <w:color w:val="auto"/>
                <w:highlight w:val="none"/>
                <w:lang w:val="en-US" w:eastAsia="zh-CN"/>
              </w:rPr>
            </w:pPr>
            <w:r>
              <w:rPr>
                <w:rFonts w:hint="eastAsia" w:eastAsia="宋体"/>
                <w:color w:val="auto"/>
                <w:highlight w:val="none"/>
                <w:lang w:val="en-US" w:eastAsia="zh-CN"/>
              </w:rPr>
              <w:t>制定值班人员培训提升计划及方案，值班人员第一次参加院方值守服务时，必须事先安排岗前培训，学习制度操作规范，并经院方考核后方可上岗。每项扣3分。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5573534F">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3CA9CC55">
            <w:pPr>
              <w:rPr>
                <w:rFonts w:hint="default"/>
                <w:color w:val="auto"/>
                <w:highlight w:val="none"/>
              </w:rPr>
            </w:pPr>
          </w:p>
        </w:tc>
      </w:tr>
      <w:tr w14:paraId="62FC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1118" w:type="dxa"/>
            <w:vMerge w:val="restart"/>
            <w:tcBorders>
              <w:top w:val="nil"/>
              <w:left w:val="single" w:color="000000" w:sz="4" w:space="0"/>
              <w:right w:val="single" w:color="000000" w:sz="4" w:space="0"/>
            </w:tcBorders>
            <w:noWrap w:val="0"/>
            <w:vAlign w:val="center"/>
          </w:tcPr>
          <w:p w14:paraId="1706EBEB">
            <w:pPr>
              <w:rPr>
                <w:rFonts w:hint="default"/>
                <w:color w:val="auto"/>
                <w:highlight w:val="none"/>
              </w:rPr>
            </w:pPr>
            <w:r>
              <w:rPr>
                <w:rFonts w:hint="eastAsia"/>
                <w:color w:val="auto"/>
                <w:highlight w:val="none"/>
                <w:lang w:val="en-US" w:eastAsia="zh-CN"/>
              </w:rPr>
              <w:t>值守质量和</w:t>
            </w:r>
            <w:r>
              <w:rPr>
                <w:rFonts w:hint="default"/>
                <w:color w:val="auto"/>
                <w:highlight w:val="none"/>
                <w:lang w:val="en-US" w:eastAsia="zh-CN"/>
              </w:rPr>
              <w:t>纪律态度</w:t>
            </w:r>
            <w:r>
              <w:rPr>
                <w:color w:val="auto"/>
                <w:highlight w:val="none"/>
                <w:lang w:val="en-US" w:eastAsia="zh-CN"/>
              </w:rPr>
              <w:t>（</w:t>
            </w:r>
            <w:r>
              <w:rPr>
                <w:rFonts w:hint="eastAsia"/>
                <w:color w:val="auto"/>
                <w:highlight w:val="none"/>
                <w:lang w:val="en-US" w:eastAsia="zh-CN"/>
              </w:rPr>
              <w:t>7</w:t>
            </w:r>
            <w:r>
              <w:rPr>
                <w:color w:val="auto"/>
                <w:highlight w:val="none"/>
                <w:lang w:val="en-US" w:eastAsia="zh-CN"/>
              </w:rPr>
              <w:t>0</w:t>
            </w:r>
            <w:r>
              <w:rPr>
                <w:rFonts w:hint="eastAsia"/>
                <w:color w:val="auto"/>
                <w:highlight w:val="none"/>
                <w:lang w:val="en-US" w:eastAsia="zh-CN"/>
              </w:rPr>
              <w:t>分）</w:t>
            </w: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45F98F21">
            <w:pPr>
              <w:rPr>
                <w:rFonts w:hint="default" w:eastAsia="宋体"/>
                <w:color w:val="auto"/>
                <w:highlight w:val="none"/>
                <w:lang w:val="en-US" w:eastAsia="zh-CN"/>
              </w:rPr>
            </w:pPr>
            <w:r>
              <w:rPr>
                <w:rFonts w:hint="default" w:eastAsia="宋体"/>
                <w:color w:val="auto"/>
                <w:highlight w:val="none"/>
                <w:lang w:val="en-US" w:eastAsia="zh-CN"/>
              </w:rPr>
              <w:t>消防控制室值班人员应严格遵守消防控制室的各项安全操作规程和各项消防安全管理制度，熟练掌握火灾应急预案，熟练掌握消防设施设备操作技能。兼顾和掌握视频监控操作管理，应急电话接听，应急小单元接听，治安综合事件报告处理。并认真填写《消防控制室值班记录》。</w:t>
            </w:r>
            <w:r>
              <w:rPr>
                <w:rFonts w:hint="eastAsia" w:eastAsia="宋体"/>
                <w:color w:val="auto"/>
                <w:highlight w:val="none"/>
                <w:lang w:val="en-US" w:eastAsia="zh-CN"/>
              </w:rPr>
              <w:t>每项扣2分。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A77C84A">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671F26CA">
            <w:pPr>
              <w:rPr>
                <w:rFonts w:hint="default"/>
                <w:color w:val="auto"/>
                <w:highlight w:val="none"/>
              </w:rPr>
            </w:pPr>
          </w:p>
        </w:tc>
      </w:tr>
      <w:tr w14:paraId="5814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1118" w:type="dxa"/>
            <w:vMerge w:val="continue"/>
            <w:tcBorders>
              <w:left w:val="single" w:color="000000" w:sz="4" w:space="0"/>
              <w:right w:val="single" w:color="000000" w:sz="4" w:space="0"/>
            </w:tcBorders>
            <w:noWrap w:val="0"/>
            <w:vAlign w:val="center"/>
          </w:tcPr>
          <w:p w14:paraId="1FA62801">
            <w:pPr>
              <w:rPr>
                <w:rFonts w:hint="default"/>
                <w:color w:val="auto"/>
                <w:highlight w:val="none"/>
              </w:rPr>
            </w:pP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68CE2F42">
            <w:pPr>
              <w:rPr>
                <w:rFonts w:hint="default" w:eastAsia="宋体"/>
                <w:color w:val="auto"/>
                <w:highlight w:val="none"/>
                <w:lang w:val="en-US" w:eastAsia="zh-CN"/>
              </w:rPr>
            </w:pPr>
            <w:r>
              <w:rPr>
                <w:rFonts w:hint="default" w:eastAsia="宋体"/>
                <w:color w:val="auto"/>
                <w:highlight w:val="none"/>
                <w:lang w:val="en-US" w:eastAsia="zh-CN"/>
              </w:rPr>
              <w:t>报警联动控制设备的常态应设置在自动控制状态。如报警联动控制设备因需要设置在手动控制状态时，亦应确保有火灾时能迅速将手动控制转换为自动控制的可靠措施:严禁将自动喷水灭火系</w:t>
            </w:r>
            <w:r>
              <w:rPr>
                <w:rFonts w:hint="eastAsia" w:eastAsia="宋体"/>
                <w:color w:val="auto"/>
                <w:highlight w:val="none"/>
                <w:lang w:val="en-US" w:eastAsia="zh-CN"/>
              </w:rPr>
              <w:t>统</w:t>
            </w:r>
            <w:r>
              <w:rPr>
                <w:rFonts w:hint="default" w:eastAsia="宋体"/>
                <w:color w:val="auto"/>
                <w:highlight w:val="none"/>
                <w:lang w:val="en-US" w:eastAsia="zh-CN"/>
              </w:rPr>
              <w:t>和联动控制的防火卷帘等防火分隔设施设置在手动控制状态。</w:t>
            </w:r>
            <w:r>
              <w:rPr>
                <w:rFonts w:hint="eastAsia" w:eastAsia="宋体"/>
                <w:color w:val="auto"/>
                <w:highlight w:val="none"/>
                <w:lang w:val="en-US" w:eastAsia="zh-CN"/>
              </w:rPr>
              <w:t>每项扣2分。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6F04719D">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4AB9162E">
            <w:pPr>
              <w:rPr>
                <w:rFonts w:hint="default"/>
                <w:color w:val="auto"/>
                <w:highlight w:val="none"/>
              </w:rPr>
            </w:pPr>
          </w:p>
        </w:tc>
      </w:tr>
      <w:tr w14:paraId="6205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jc w:val="center"/>
        </w:trPr>
        <w:tc>
          <w:tcPr>
            <w:tcW w:w="1118" w:type="dxa"/>
            <w:vMerge w:val="continue"/>
            <w:tcBorders>
              <w:left w:val="single" w:color="000000" w:sz="4" w:space="0"/>
              <w:right w:val="single" w:color="000000" w:sz="4" w:space="0"/>
            </w:tcBorders>
            <w:noWrap w:val="0"/>
            <w:vAlign w:val="center"/>
          </w:tcPr>
          <w:p w14:paraId="183D93C1">
            <w:pPr>
              <w:rPr>
                <w:rFonts w:hint="default"/>
                <w:color w:val="auto"/>
                <w:highlight w:val="none"/>
              </w:rPr>
            </w:pP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414104CD">
            <w:pPr>
              <w:rPr>
                <w:rFonts w:hint="default" w:eastAsia="宋体"/>
                <w:color w:val="auto"/>
                <w:highlight w:val="none"/>
                <w:lang w:val="en-US" w:eastAsia="zh-CN"/>
              </w:rPr>
            </w:pPr>
            <w:r>
              <w:rPr>
                <w:rFonts w:hint="default" w:eastAsia="宋体"/>
                <w:color w:val="auto"/>
                <w:highlight w:val="none"/>
                <w:lang w:val="en-US" w:eastAsia="zh-CN"/>
              </w:rPr>
              <w:t>消防控制室值班人员应按时上岗，佩戴工卡，言语举止文明礼貌</w:t>
            </w:r>
            <w:r>
              <w:rPr>
                <w:rFonts w:hint="eastAsia" w:eastAsia="宋体"/>
                <w:color w:val="auto"/>
                <w:highlight w:val="none"/>
                <w:lang w:val="en-US" w:eastAsia="zh-CN"/>
              </w:rPr>
              <w:t>，主动接受医院管理检查</w:t>
            </w:r>
            <w:r>
              <w:rPr>
                <w:rFonts w:hint="default" w:eastAsia="宋体"/>
                <w:color w:val="auto"/>
                <w:highlight w:val="none"/>
                <w:lang w:val="en-US" w:eastAsia="zh-CN"/>
              </w:rPr>
              <w:t>。并做好交接班工作，坚守岗位，尽职尽责，做好各项记录工作，不得脱岗、睡岗，严禁值班前饮酒或在值班时进行会客和娱乐活动，确有特殊情况不能到岗的，应提前1天向安全保卫部门负责人员请假，经批准后，由</w:t>
            </w:r>
            <w:r>
              <w:rPr>
                <w:rFonts w:hint="eastAsia" w:eastAsia="宋体"/>
                <w:color w:val="auto"/>
                <w:highlight w:val="none"/>
                <w:lang w:val="en-US" w:eastAsia="zh-CN"/>
              </w:rPr>
              <w:t>公司</w:t>
            </w:r>
            <w:r>
              <w:rPr>
                <w:rFonts w:hint="default" w:eastAsia="宋体"/>
                <w:color w:val="auto"/>
                <w:highlight w:val="none"/>
                <w:lang w:val="en-US" w:eastAsia="zh-CN"/>
              </w:rPr>
              <w:t>安排其他持证的人员代替值班。</w:t>
            </w:r>
            <w:r>
              <w:rPr>
                <w:rFonts w:hint="eastAsia" w:eastAsia="宋体"/>
                <w:color w:val="auto"/>
                <w:highlight w:val="none"/>
                <w:lang w:val="en-US" w:eastAsia="zh-CN"/>
              </w:rPr>
              <w:t>每项扣2分。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5416C7FD">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0E9495B1">
            <w:pPr>
              <w:rPr>
                <w:rFonts w:hint="default"/>
                <w:color w:val="auto"/>
                <w:highlight w:val="none"/>
              </w:rPr>
            </w:pPr>
          </w:p>
        </w:tc>
      </w:tr>
      <w:tr w14:paraId="149A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1118" w:type="dxa"/>
            <w:vMerge w:val="continue"/>
            <w:tcBorders>
              <w:left w:val="single" w:color="000000" w:sz="4" w:space="0"/>
              <w:right w:val="single" w:color="000000" w:sz="4" w:space="0"/>
            </w:tcBorders>
            <w:noWrap w:val="0"/>
            <w:vAlign w:val="center"/>
          </w:tcPr>
          <w:p w14:paraId="75FE5DED">
            <w:pPr>
              <w:rPr>
                <w:rFonts w:hint="default"/>
                <w:color w:val="auto"/>
                <w:highlight w:val="none"/>
              </w:rPr>
            </w:pP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1B18630E">
            <w:pPr>
              <w:rPr>
                <w:rFonts w:hint="eastAsia" w:eastAsia="宋体"/>
                <w:color w:val="auto"/>
                <w:highlight w:val="none"/>
                <w:lang w:val="en-US" w:eastAsia="zh-CN"/>
              </w:rPr>
            </w:pPr>
            <w:r>
              <w:rPr>
                <w:rFonts w:hint="default" w:eastAsia="宋体"/>
                <w:color w:val="auto"/>
                <w:highlight w:val="none"/>
                <w:lang w:val="en-US" w:eastAsia="zh-CN"/>
              </w:rPr>
              <w:t>消防控制室值班人员应认真做好报警设备检查，发生火灾信号处置、灭火操作设备检查和设备运行情况等各项登记、记录工作</w:t>
            </w:r>
            <w:r>
              <w:rPr>
                <w:rFonts w:hint="eastAsia" w:eastAsia="宋体"/>
                <w:color w:val="auto"/>
                <w:highlight w:val="none"/>
                <w:lang w:val="en-US" w:eastAsia="zh-CN"/>
              </w:rPr>
              <w:t>。每次值班开始时，必须对系统功能进行一次检查测试，保障系统正常各项功能充分发挥，如有不能处理的故障，必须立即向医院报告，并做好登记。每项扣2分。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360809E9">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2BE4D956">
            <w:pPr>
              <w:rPr>
                <w:rFonts w:hint="default"/>
                <w:color w:val="auto"/>
                <w:highlight w:val="none"/>
              </w:rPr>
            </w:pPr>
          </w:p>
        </w:tc>
      </w:tr>
      <w:tr w14:paraId="0155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1118" w:type="dxa"/>
            <w:vMerge w:val="continue"/>
            <w:tcBorders>
              <w:left w:val="single" w:color="000000" w:sz="4" w:space="0"/>
              <w:right w:val="single" w:color="000000" w:sz="4" w:space="0"/>
            </w:tcBorders>
            <w:noWrap w:val="0"/>
            <w:vAlign w:val="center"/>
          </w:tcPr>
          <w:p w14:paraId="5EFF1D65">
            <w:pPr>
              <w:rPr>
                <w:rFonts w:hint="default"/>
                <w:color w:val="auto"/>
                <w:highlight w:val="none"/>
              </w:rPr>
            </w:pP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76EE5F99">
            <w:pPr>
              <w:rPr>
                <w:rFonts w:hint="default" w:eastAsia="宋体"/>
                <w:color w:val="auto"/>
                <w:highlight w:val="none"/>
                <w:lang w:val="en-US" w:eastAsia="zh-CN"/>
              </w:rPr>
            </w:pPr>
            <w:r>
              <w:rPr>
                <w:rFonts w:hint="default" w:eastAsia="宋体"/>
                <w:color w:val="auto"/>
                <w:highlight w:val="none"/>
                <w:lang w:val="en-US" w:eastAsia="zh-CN"/>
              </w:rPr>
              <w:t>消防控制室值班人员要爱护消防控制室的设备设施，保持控制室内的卫生，发生损毁丢失照价赔偿，并承担相应法律责任。严禁无关人员进入消防控制室，做好人员进出登记，防止他人随意触动设备。</w:t>
            </w:r>
            <w:r>
              <w:rPr>
                <w:rFonts w:hint="eastAsia" w:eastAsia="宋体"/>
                <w:color w:val="auto"/>
                <w:highlight w:val="none"/>
                <w:lang w:val="en-US" w:eastAsia="zh-CN"/>
              </w:rPr>
              <w:t>每项扣2分。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9649D7F">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768A5726">
            <w:pPr>
              <w:rPr>
                <w:rFonts w:hint="default"/>
                <w:color w:val="auto"/>
                <w:highlight w:val="none"/>
              </w:rPr>
            </w:pPr>
          </w:p>
        </w:tc>
      </w:tr>
      <w:tr w14:paraId="7FFC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1118" w:type="dxa"/>
            <w:vMerge w:val="continue"/>
            <w:tcBorders>
              <w:left w:val="single" w:color="000000" w:sz="4" w:space="0"/>
              <w:right w:val="single" w:color="000000" w:sz="4" w:space="0"/>
            </w:tcBorders>
            <w:noWrap w:val="0"/>
            <w:vAlign w:val="center"/>
          </w:tcPr>
          <w:p w14:paraId="2D562D1A">
            <w:pPr>
              <w:rPr>
                <w:rFonts w:hint="default"/>
                <w:color w:val="auto"/>
                <w:highlight w:val="none"/>
              </w:rPr>
            </w:pP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700FF039">
            <w:pPr>
              <w:rPr>
                <w:rFonts w:hint="default" w:eastAsia="宋体"/>
                <w:color w:val="auto"/>
                <w:highlight w:val="none"/>
                <w:lang w:val="en-US" w:eastAsia="zh-CN"/>
              </w:rPr>
            </w:pPr>
            <w:r>
              <w:rPr>
                <w:rFonts w:hint="default" w:eastAsia="宋体"/>
                <w:color w:val="auto"/>
                <w:highlight w:val="none"/>
                <w:lang w:val="en-US" w:eastAsia="zh-CN"/>
              </w:rPr>
              <w:t>消防控制室内严禁存放易燃易爆危险物品</w:t>
            </w:r>
            <w:r>
              <w:rPr>
                <w:rFonts w:hint="eastAsia" w:eastAsia="宋体"/>
                <w:color w:val="auto"/>
                <w:highlight w:val="none"/>
                <w:lang w:val="en-US" w:eastAsia="zh-CN"/>
              </w:rPr>
              <w:t>，</w:t>
            </w:r>
            <w:r>
              <w:rPr>
                <w:rFonts w:hint="default" w:eastAsia="宋体"/>
                <w:color w:val="auto"/>
                <w:highlight w:val="none"/>
                <w:lang w:val="en-US" w:eastAsia="zh-CN"/>
              </w:rPr>
              <w:t>堆放与设备运行无关的物品或杂物或与工作无关的私人物品，严禁与消防控制室无关的电气线路和管道穿过。消防控制室内严禁吸烟或动用明火</w:t>
            </w:r>
            <w:r>
              <w:rPr>
                <w:rFonts w:hint="eastAsia" w:eastAsia="宋体"/>
                <w:color w:val="auto"/>
                <w:highlight w:val="none"/>
                <w:lang w:val="en-US" w:eastAsia="zh-CN"/>
              </w:rPr>
              <w:t>，及其他不文明不安全行为。每项扣2分。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28550F8C">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038C79F5">
            <w:pPr>
              <w:rPr>
                <w:rFonts w:hint="default"/>
                <w:color w:val="auto"/>
                <w:highlight w:val="none"/>
              </w:rPr>
            </w:pPr>
          </w:p>
        </w:tc>
      </w:tr>
      <w:tr w14:paraId="2BE2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118" w:type="dxa"/>
            <w:vMerge w:val="continue"/>
            <w:tcBorders>
              <w:left w:val="single" w:color="000000" w:sz="4" w:space="0"/>
              <w:right w:val="single" w:color="000000" w:sz="4" w:space="0"/>
            </w:tcBorders>
            <w:noWrap w:val="0"/>
            <w:vAlign w:val="center"/>
          </w:tcPr>
          <w:p w14:paraId="73308AD6">
            <w:pPr>
              <w:rPr>
                <w:rFonts w:hint="default"/>
                <w:color w:val="auto"/>
                <w:highlight w:val="none"/>
              </w:rPr>
            </w:pP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2F05A8DF">
            <w:pPr>
              <w:rPr>
                <w:rFonts w:hint="default" w:eastAsia="宋体"/>
                <w:color w:val="auto"/>
                <w:highlight w:val="none"/>
                <w:lang w:val="en-US" w:eastAsia="zh-CN"/>
              </w:rPr>
            </w:pPr>
            <w:r>
              <w:rPr>
                <w:rFonts w:hint="eastAsia" w:eastAsia="宋体"/>
                <w:color w:val="auto"/>
                <w:highlight w:val="none"/>
                <w:lang w:val="en-US" w:eastAsia="zh-CN"/>
              </w:rPr>
              <w:t>值班时不得擅离职守、玩忽职守，不得玩手机玩游戏，做与值守无关的事情，必须高度警惕，密切注视消防系统及相关设备设施的动态，保证消防系统安全运转及其设备功能作用的充分发挥。每项扣2分。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5CA9977D">
            <w:pPr>
              <w:rPr>
                <w:rFonts w:hint="default"/>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17791297">
            <w:pPr>
              <w:rPr>
                <w:rFonts w:hint="default"/>
                <w:color w:val="auto"/>
                <w:highlight w:val="none"/>
              </w:rPr>
            </w:pPr>
          </w:p>
        </w:tc>
      </w:tr>
      <w:tr w14:paraId="64F4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118" w:type="dxa"/>
            <w:vMerge w:val="continue"/>
            <w:tcBorders>
              <w:left w:val="single" w:color="000000" w:sz="4" w:space="0"/>
              <w:right w:val="single" w:color="000000" w:sz="4" w:space="0"/>
            </w:tcBorders>
            <w:noWrap w:val="0"/>
            <w:vAlign w:val="center"/>
          </w:tcPr>
          <w:p w14:paraId="6168266A">
            <w:pPr>
              <w:rPr>
                <w:rFonts w:hint="default"/>
                <w:color w:val="auto"/>
                <w:highlight w:val="none"/>
              </w:rPr>
            </w:pPr>
          </w:p>
        </w:tc>
        <w:tc>
          <w:tcPr>
            <w:tcW w:w="5399" w:type="dxa"/>
            <w:tcBorders>
              <w:top w:val="single" w:color="000000" w:sz="4" w:space="0"/>
              <w:left w:val="single" w:color="000000" w:sz="4" w:space="0"/>
              <w:bottom w:val="single" w:color="000000" w:sz="4" w:space="0"/>
              <w:right w:val="single" w:color="000000" w:sz="4" w:space="0"/>
            </w:tcBorders>
            <w:noWrap w:val="0"/>
            <w:vAlign w:val="center"/>
          </w:tcPr>
          <w:p w14:paraId="360C2961">
            <w:pPr>
              <w:rPr>
                <w:rFonts w:hint="default" w:eastAsia="宋体"/>
                <w:color w:val="auto"/>
                <w:highlight w:val="none"/>
                <w:lang w:val="en-US" w:eastAsia="zh-CN"/>
              </w:rPr>
            </w:pPr>
            <w:r>
              <w:rPr>
                <w:rFonts w:hint="eastAsia" w:eastAsia="宋体"/>
                <w:color w:val="auto"/>
                <w:highlight w:val="none"/>
                <w:lang w:val="en-US" w:eastAsia="zh-CN"/>
              </w:rPr>
              <w:t>值班人员是否积极配合，服务到位，及时完成各项消防工作任务。服务过程中是否有被患者/职工/科室/医院投诉记录。每项扣2分。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2CD93B45">
            <w:pPr>
              <w:rPr>
                <w:rFonts w:hint="eastAsia"/>
                <w:color w:val="auto"/>
                <w:highlight w:val="none"/>
              </w:rPr>
            </w:pP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5428B159">
            <w:pPr>
              <w:rPr>
                <w:rFonts w:hint="default"/>
                <w:color w:val="auto"/>
                <w:highlight w:val="none"/>
              </w:rPr>
            </w:pPr>
          </w:p>
        </w:tc>
      </w:tr>
      <w:tr w14:paraId="5B71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267" w:type="dxa"/>
            <w:gridSpan w:val="3"/>
            <w:tcBorders>
              <w:top w:val="single" w:color="000000" w:sz="4" w:space="0"/>
              <w:left w:val="single" w:color="000000" w:sz="4" w:space="0"/>
              <w:bottom w:val="single" w:color="000000" w:sz="4" w:space="0"/>
              <w:right w:val="single" w:color="000000" w:sz="4" w:space="0"/>
            </w:tcBorders>
            <w:noWrap w:val="0"/>
            <w:vAlign w:val="center"/>
          </w:tcPr>
          <w:p w14:paraId="58C9191C">
            <w:pPr>
              <w:rPr>
                <w:color w:val="auto"/>
                <w:highlight w:val="none"/>
              </w:rPr>
            </w:pPr>
            <w:r>
              <w:rPr>
                <w:color w:val="auto"/>
                <w:highlight w:val="none"/>
                <w:lang w:val="en-US" w:eastAsia="zh-CN"/>
              </w:rPr>
              <w:t>本</w:t>
            </w:r>
            <w:r>
              <w:rPr>
                <w:rFonts w:hint="eastAsia"/>
                <w:color w:val="auto"/>
                <w:highlight w:val="none"/>
                <w:lang w:val="en-US" w:eastAsia="zh-CN"/>
              </w:rPr>
              <w:t>月</w:t>
            </w:r>
            <w:r>
              <w:rPr>
                <w:color w:val="auto"/>
                <w:highlight w:val="none"/>
                <w:lang w:val="en-US" w:eastAsia="zh-CN"/>
              </w:rPr>
              <w:t>度维保服务质量考核结果</w:t>
            </w:r>
          </w:p>
        </w:tc>
        <w:tc>
          <w:tcPr>
            <w:tcW w:w="2467" w:type="dxa"/>
            <w:tcBorders>
              <w:top w:val="single" w:color="000000" w:sz="4" w:space="0"/>
              <w:left w:val="single" w:color="000000" w:sz="4" w:space="0"/>
              <w:bottom w:val="single" w:color="000000" w:sz="4" w:space="0"/>
              <w:right w:val="single" w:color="000000" w:sz="4" w:space="0"/>
            </w:tcBorders>
            <w:noWrap w:val="0"/>
            <w:vAlign w:val="top"/>
          </w:tcPr>
          <w:p w14:paraId="429C6358">
            <w:pPr>
              <w:rPr>
                <w:rFonts w:hint="default"/>
                <w:color w:val="auto"/>
                <w:highlight w:val="none"/>
              </w:rPr>
            </w:pPr>
          </w:p>
        </w:tc>
      </w:tr>
      <w:tr w14:paraId="2894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734" w:type="dxa"/>
            <w:gridSpan w:val="4"/>
            <w:tcBorders>
              <w:top w:val="single" w:color="000000" w:sz="4" w:space="0"/>
              <w:left w:val="single" w:color="000000" w:sz="4" w:space="0"/>
              <w:bottom w:val="single" w:color="000000" w:sz="4" w:space="0"/>
              <w:right w:val="single" w:color="000000" w:sz="4" w:space="0"/>
            </w:tcBorders>
            <w:noWrap w:val="0"/>
            <w:vAlign w:val="center"/>
          </w:tcPr>
          <w:p w14:paraId="55303A51">
            <w:pPr>
              <w:rPr>
                <w:color w:val="auto"/>
                <w:highlight w:val="none"/>
              </w:rPr>
            </w:pPr>
            <w:r>
              <w:rPr>
                <w:color w:val="auto"/>
                <w:highlight w:val="none"/>
                <w:lang w:val="en-US" w:eastAsia="zh-CN"/>
              </w:rPr>
              <w:t>考核人员签名：</w:t>
            </w:r>
          </w:p>
        </w:tc>
      </w:tr>
      <w:tr w14:paraId="11D6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jc w:val="center"/>
        </w:trPr>
        <w:tc>
          <w:tcPr>
            <w:tcW w:w="10734" w:type="dxa"/>
            <w:gridSpan w:val="4"/>
            <w:tcBorders>
              <w:top w:val="single" w:color="000000" w:sz="4" w:space="0"/>
              <w:left w:val="nil"/>
              <w:bottom w:val="single" w:color="000000" w:sz="4" w:space="0"/>
              <w:right w:val="single" w:color="000000" w:sz="4" w:space="0"/>
            </w:tcBorders>
            <w:noWrap w:val="0"/>
            <w:vAlign w:val="center"/>
          </w:tcPr>
          <w:p w14:paraId="380FE02F">
            <w:pPr>
              <w:rPr>
                <w:color w:val="auto"/>
                <w:highlight w:val="none"/>
                <w:lang w:val="en-US" w:eastAsia="zh-CN"/>
              </w:rPr>
            </w:pPr>
            <w:r>
              <w:rPr>
                <w:color w:val="auto"/>
                <w:highlight w:val="none"/>
                <w:lang w:val="en-US" w:eastAsia="zh-CN"/>
              </w:rPr>
              <w:t>备注：满分为100分。说明：服务综合评价结果</w:t>
            </w:r>
            <w:r>
              <w:rPr>
                <w:color w:val="auto"/>
                <w:highlight w:val="none"/>
                <w:lang w:val="en-US" w:eastAsia="zh-CN"/>
              </w:rPr>
              <w:br w:type="textWrapping"/>
            </w:r>
            <w:r>
              <w:rPr>
                <w:color w:val="auto"/>
                <w:highlight w:val="none"/>
                <w:lang w:val="en-US" w:eastAsia="zh-CN"/>
              </w:rPr>
              <w:t>□ 优秀 （90分以上，含90分）</w:t>
            </w:r>
            <w:r>
              <w:rPr>
                <w:color w:val="auto"/>
                <w:highlight w:val="none"/>
                <w:lang w:val="en-US" w:eastAsia="zh-CN"/>
              </w:rPr>
              <w:br w:type="textWrapping"/>
            </w:r>
            <w:r>
              <w:rPr>
                <w:color w:val="auto"/>
                <w:highlight w:val="none"/>
                <w:lang w:val="en-US" w:eastAsia="zh-CN"/>
              </w:rPr>
              <w:t>□ 良好 （85～90分，含85分）</w:t>
            </w:r>
            <w:r>
              <w:rPr>
                <w:color w:val="auto"/>
                <w:highlight w:val="none"/>
                <w:lang w:val="en-US" w:eastAsia="zh-CN"/>
              </w:rPr>
              <w:br w:type="textWrapping"/>
            </w:r>
            <w:r>
              <w:rPr>
                <w:color w:val="auto"/>
                <w:highlight w:val="none"/>
                <w:lang w:val="en-US" w:eastAsia="zh-CN"/>
              </w:rPr>
              <w:t>□ 一般 （80～85分，含80分）</w:t>
            </w:r>
            <w:r>
              <w:rPr>
                <w:color w:val="auto"/>
                <w:highlight w:val="none"/>
                <w:lang w:val="en-US" w:eastAsia="zh-CN"/>
              </w:rPr>
              <w:br w:type="textWrapping"/>
            </w:r>
            <w:r>
              <w:rPr>
                <w:color w:val="auto"/>
                <w:highlight w:val="none"/>
                <w:lang w:val="en-US" w:eastAsia="zh-CN"/>
              </w:rPr>
              <w:t>□ 不合格（80分以下）</w:t>
            </w:r>
          </w:p>
          <w:p w14:paraId="30402B13">
            <w:pPr>
              <w:rPr>
                <w:color w:val="auto"/>
                <w:highlight w:val="none"/>
              </w:rPr>
            </w:pPr>
            <w:r>
              <w:rPr>
                <w:color w:val="auto"/>
                <w:highlight w:val="none"/>
                <w:lang w:val="en-US" w:eastAsia="zh-CN"/>
              </w:rPr>
              <w:t>如有重大工作失误或违约行为，院方有权扣除全部服务费，但并不排除按合同条款作出相应处理。</w:t>
            </w:r>
          </w:p>
        </w:tc>
      </w:tr>
    </w:tbl>
    <w:p w14:paraId="7791ED77"/>
    <w:p w14:paraId="4F90CF99">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52BF7A25">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25690EB4">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61CE2512">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3D1AC145">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4BCFF594">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26ACC597">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6E1C9408">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094028F1">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30797A48">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6D1999CE">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5874506B">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43597AFA">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67E418B7">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34FC67B1">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1EBBCB6A">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6E1B9E26">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29B5E071">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53EE19E3">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15555BDC">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p>
    <w:p w14:paraId="099B40C1">
      <w:pPr>
        <w:keepNext w:val="0"/>
        <w:keepLines w:val="0"/>
        <w:pageBreakBefore w:val="0"/>
        <w:widowControl w:val="0"/>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sectPr>
          <w:pgSz w:w="11906" w:h="16838"/>
          <w:pgMar w:top="1440" w:right="1800" w:bottom="1440" w:left="1800" w:header="851" w:footer="992" w:gutter="0"/>
          <w:pgNumType w:fmt="decimal"/>
          <w:cols w:space="425" w:num="1"/>
          <w:docGrid w:type="lines" w:linePitch="312" w:charSpace="0"/>
        </w:sectPr>
      </w:pPr>
    </w:p>
    <w:p w14:paraId="6CB25999">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360" w:lineRule="auto"/>
        <w:ind w:left="0" w:leftChars="0" w:right="0" w:firstLine="0" w:firstLineChars="0"/>
        <w:jc w:val="center"/>
        <w:textAlignment w:val="auto"/>
        <w:rPr>
          <w:rFonts w:hint="eastAsia" w:ascii="宋体" w:hAnsi="宋体" w:eastAsia="宋体" w:cs="宋体"/>
          <w:b/>
          <w:bCs/>
          <w:spacing w:val="-3"/>
          <w:sz w:val="32"/>
          <w:szCs w:val="32"/>
          <w:lang w:val="en-US" w:eastAsia="zh-CN" w:bidi="zh-CN"/>
        </w:rPr>
      </w:pPr>
      <w:r>
        <w:rPr>
          <w:rFonts w:hint="eastAsia" w:ascii="宋体" w:hAnsi="宋体" w:eastAsia="宋体" w:cs="宋体"/>
          <w:b/>
          <w:bCs/>
          <w:spacing w:val="-3"/>
          <w:sz w:val="32"/>
          <w:szCs w:val="32"/>
          <w:lang w:val="en-US" w:eastAsia="zh-CN" w:bidi="zh-CN"/>
        </w:rPr>
        <w:t>智慧消防物联网安全监管系统运营维护服务需求</w:t>
      </w:r>
    </w:p>
    <w:p w14:paraId="5F3D443A">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360" w:lineRule="auto"/>
        <w:ind w:left="0" w:leftChars="0" w:right="0" w:firstLine="0" w:firstLineChars="0"/>
        <w:jc w:val="center"/>
        <w:textAlignment w:val="auto"/>
        <w:rPr>
          <w:rFonts w:hint="eastAsia" w:ascii="宋体" w:hAnsi="宋体" w:eastAsia="宋体" w:cs="宋体"/>
          <w:b/>
          <w:bCs/>
          <w:spacing w:val="-3"/>
          <w:sz w:val="32"/>
          <w:szCs w:val="32"/>
          <w:lang w:val="en-US" w:eastAsia="zh-CN" w:bidi="zh-CN"/>
        </w:rPr>
      </w:pPr>
    </w:p>
    <w:p w14:paraId="739056F3">
      <w:pPr>
        <w:pStyle w:val="3"/>
        <w:keepNext w:val="0"/>
        <w:keepLines w:val="0"/>
        <w:pageBreakBefore w:val="0"/>
        <w:widowControl w:val="0"/>
        <w:tabs>
          <w:tab w:val="left" w:pos="2039"/>
          <w:tab w:val="left" w:pos="4199"/>
          <w:tab w:val="left" w:pos="4259"/>
          <w:tab w:val="left" w:pos="6299"/>
        </w:tabs>
        <w:kinsoku/>
        <w:wordWrap/>
        <w:overflowPunct/>
        <w:topLinePunct w:val="0"/>
        <w:autoSpaceDE w:val="0"/>
        <w:autoSpaceDN w:val="0"/>
        <w:bidi w:val="0"/>
        <w:adjustRightInd w:val="0"/>
        <w:snapToGrid w:val="0"/>
        <w:spacing w:before="0" w:line="360" w:lineRule="auto"/>
        <w:ind w:left="0" w:leftChars="0" w:right="0" w:firstLine="482" w:firstLineChars="200"/>
        <w:textAlignment w:val="auto"/>
        <w:rPr>
          <w:rFonts w:hint="default" w:eastAsia="宋体"/>
          <w:b/>
          <w:bCs/>
          <w:sz w:val="24"/>
          <w:szCs w:val="24"/>
          <w:lang w:val="en-US" w:eastAsia="zh-CN"/>
        </w:rPr>
      </w:pPr>
      <w:r>
        <w:rPr>
          <w:rFonts w:hint="eastAsia"/>
          <w:b/>
          <w:bCs/>
          <w:sz w:val="24"/>
          <w:szCs w:val="24"/>
          <w:lang w:val="en-US" w:eastAsia="zh-CN"/>
        </w:rPr>
        <w:t>一、基本情况</w:t>
      </w:r>
    </w:p>
    <w:p w14:paraId="408309D6">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82" w:firstLineChars="200"/>
        <w:textAlignment w:val="auto"/>
        <w:rPr>
          <w:rFonts w:hint="default"/>
          <w:sz w:val="24"/>
          <w:szCs w:val="24"/>
          <w:lang w:val="en-US" w:eastAsia="zh-CN"/>
        </w:rPr>
      </w:pPr>
      <w:r>
        <w:rPr>
          <w:rFonts w:hint="eastAsia"/>
          <w:b/>
          <w:bCs/>
          <w:sz w:val="24"/>
          <w:szCs w:val="24"/>
          <w:lang w:val="en-US" w:eastAsia="zh-CN"/>
        </w:rPr>
        <w:t>（一）项目概述</w:t>
      </w:r>
    </w:p>
    <w:p w14:paraId="753C806A">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hint="default"/>
          <w:spacing w:val="-3"/>
          <w:sz w:val="24"/>
          <w:szCs w:val="24"/>
          <w:u w:val="none"/>
          <w:lang w:val="en-US" w:eastAsia="zh-CN"/>
        </w:rPr>
      </w:pPr>
      <w:r>
        <w:rPr>
          <w:rFonts w:hint="eastAsia"/>
          <w:sz w:val="24"/>
          <w:szCs w:val="24"/>
          <w:lang w:val="en-US" w:eastAsia="zh-CN"/>
        </w:rPr>
        <w:t>1.</w:t>
      </w:r>
      <w:r>
        <w:rPr>
          <w:sz w:val="24"/>
          <w:szCs w:val="24"/>
          <w:u w:val="none"/>
        </w:rPr>
        <w:t>项目名称：</w:t>
      </w:r>
      <w:r>
        <w:rPr>
          <w:rFonts w:hint="eastAsia"/>
          <w:spacing w:val="-3"/>
          <w:sz w:val="24"/>
          <w:szCs w:val="24"/>
          <w:u w:val="none"/>
          <w:lang w:val="en-US" w:eastAsia="zh-CN"/>
        </w:rPr>
        <w:t>广东省中医院贵州医院智慧消防物联网安全监管系统运营维护服务</w:t>
      </w:r>
    </w:p>
    <w:p w14:paraId="61C33FA8">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68" w:firstLineChars="200"/>
        <w:textAlignment w:val="auto"/>
        <w:rPr>
          <w:rFonts w:hint="default"/>
          <w:sz w:val="24"/>
          <w:szCs w:val="24"/>
          <w:u w:val="none"/>
          <w:lang w:val="en-US"/>
        </w:rPr>
      </w:pPr>
      <w:r>
        <w:rPr>
          <w:rFonts w:hint="eastAsia"/>
          <w:spacing w:val="-3"/>
          <w:sz w:val="24"/>
          <w:szCs w:val="24"/>
          <w:u w:val="none"/>
          <w:lang w:val="en-US" w:eastAsia="zh-CN"/>
        </w:rPr>
        <w:t>2</w:t>
      </w:r>
      <w:r>
        <w:rPr>
          <w:rFonts w:hint="eastAsia"/>
          <w:sz w:val="24"/>
          <w:szCs w:val="24"/>
          <w:lang w:val="en-US" w:eastAsia="zh-CN"/>
        </w:rPr>
        <w:t>.</w:t>
      </w:r>
      <w:r>
        <w:rPr>
          <w:sz w:val="24"/>
          <w:szCs w:val="24"/>
          <w:u w:val="none"/>
        </w:rPr>
        <w:t>使用单位：</w:t>
      </w:r>
      <w:r>
        <w:rPr>
          <w:rFonts w:hint="eastAsia"/>
          <w:spacing w:val="-3"/>
          <w:sz w:val="24"/>
          <w:szCs w:val="24"/>
          <w:u w:val="none"/>
          <w:lang w:val="en-US" w:eastAsia="zh-CN"/>
        </w:rPr>
        <w:t>广东省中医院贵州医院（事业单位、公立医院）</w:t>
      </w:r>
    </w:p>
    <w:p w14:paraId="26672404">
      <w:pPr>
        <w:pStyle w:val="3"/>
        <w:keepNext w:val="0"/>
        <w:keepLines w:val="0"/>
        <w:pageBreakBefore w:val="0"/>
        <w:widowControl w:val="0"/>
        <w:tabs>
          <w:tab w:val="left" w:pos="5778"/>
        </w:tabs>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default" w:eastAsia="宋体"/>
          <w:sz w:val="24"/>
          <w:szCs w:val="24"/>
          <w:u w:val="none"/>
          <w:lang w:val="en-US" w:eastAsia="zh-CN"/>
        </w:rPr>
      </w:pPr>
      <w:r>
        <w:rPr>
          <w:rFonts w:hint="eastAsia"/>
          <w:sz w:val="24"/>
          <w:szCs w:val="24"/>
          <w:u w:val="none"/>
          <w:lang w:val="en-US" w:eastAsia="zh-CN"/>
        </w:rPr>
        <w:t>3</w:t>
      </w:r>
      <w:r>
        <w:rPr>
          <w:rFonts w:hint="eastAsia"/>
          <w:sz w:val="24"/>
          <w:szCs w:val="24"/>
          <w:lang w:val="en-US" w:eastAsia="zh-CN"/>
        </w:rPr>
        <w:t>.</w:t>
      </w:r>
      <w:r>
        <w:rPr>
          <w:rFonts w:hint="eastAsia"/>
          <w:sz w:val="24"/>
          <w:szCs w:val="24"/>
          <w:u w:val="none"/>
          <w:lang w:val="en-US" w:eastAsia="zh-CN"/>
        </w:rPr>
        <w:t>项目</w:t>
      </w:r>
      <w:r>
        <w:rPr>
          <w:sz w:val="24"/>
          <w:szCs w:val="24"/>
          <w:u w:val="none"/>
        </w:rPr>
        <w:t>地址：</w:t>
      </w:r>
      <w:r>
        <w:rPr>
          <w:rFonts w:hint="eastAsia"/>
          <w:spacing w:val="-3"/>
          <w:sz w:val="24"/>
          <w:szCs w:val="24"/>
          <w:u w:val="none"/>
          <w:lang w:val="en-US" w:eastAsia="zh-CN"/>
        </w:rPr>
        <w:t>贵州省贵阳市南明区花溪大道中段27号</w:t>
      </w:r>
    </w:p>
    <w:p w14:paraId="4822AED1">
      <w:pPr>
        <w:pStyle w:val="3"/>
        <w:keepNext w:val="0"/>
        <w:keepLines w:val="0"/>
        <w:pageBreakBefore w:val="0"/>
        <w:widowControl w:val="0"/>
        <w:tabs>
          <w:tab w:val="left" w:pos="1439"/>
          <w:tab w:val="left" w:pos="1799"/>
          <w:tab w:val="left" w:pos="1919"/>
          <w:tab w:val="left" w:pos="2759"/>
          <w:tab w:val="left" w:pos="4099"/>
          <w:tab w:val="left" w:pos="5058"/>
          <w:tab w:val="left" w:pos="5152"/>
          <w:tab w:val="left" w:pos="5418"/>
          <w:tab w:val="left" w:pos="6858"/>
          <w:tab w:val="left" w:pos="9738"/>
          <w:tab w:val="left" w:pos="9901"/>
          <w:tab w:val="left" w:pos="10043"/>
          <w:tab w:val="left" w:pos="10163"/>
        </w:tabs>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hint="eastAsia"/>
          <w:sz w:val="24"/>
          <w:szCs w:val="24"/>
          <w:u w:val="none"/>
          <w:lang w:eastAsia="zh-CN"/>
        </w:rPr>
      </w:pPr>
      <w:r>
        <w:rPr>
          <w:rFonts w:hint="eastAsia"/>
          <w:sz w:val="24"/>
          <w:szCs w:val="24"/>
          <w:lang w:val="en-US" w:eastAsia="zh-CN"/>
        </w:rPr>
        <w:t>4.</w:t>
      </w:r>
      <w:r>
        <w:rPr>
          <w:rFonts w:hint="eastAsia"/>
          <w:sz w:val="24"/>
          <w:szCs w:val="24"/>
          <w:lang w:eastAsia="zh-CN"/>
        </w:rPr>
        <w:t>总</w:t>
      </w:r>
      <w:r>
        <w:rPr>
          <w:sz w:val="24"/>
          <w:szCs w:val="24"/>
        </w:rPr>
        <w:t>建筑面积</w:t>
      </w:r>
      <w:r>
        <w:rPr>
          <w:sz w:val="24"/>
          <w:szCs w:val="24"/>
          <w:u w:val="none"/>
        </w:rPr>
        <w:t>：</w:t>
      </w:r>
      <w:r>
        <w:rPr>
          <w:rFonts w:hint="eastAsia" w:ascii="宋体" w:hAnsi="宋体" w:eastAsia="宋体" w:cs="宋体"/>
          <w:sz w:val="24"/>
          <w:szCs w:val="24"/>
          <w:u w:val="none"/>
        </w:rPr>
        <w:t>28798.59平方米</w:t>
      </w:r>
      <w:r>
        <w:rPr>
          <w:rFonts w:hint="eastAsia" w:cs="宋体"/>
          <w:sz w:val="24"/>
          <w:szCs w:val="24"/>
          <w:u w:val="none"/>
          <w:lang w:val="en-US" w:eastAsia="zh-CN"/>
        </w:rPr>
        <w:t>；</w:t>
      </w:r>
      <w:r>
        <w:rPr>
          <w:sz w:val="24"/>
          <w:szCs w:val="24"/>
        </w:rPr>
        <w:t>使</w:t>
      </w:r>
      <w:r>
        <w:rPr>
          <w:sz w:val="24"/>
          <w:szCs w:val="24"/>
          <w:u w:val="none"/>
        </w:rPr>
        <w:t>用性质：</w:t>
      </w:r>
      <w:r>
        <w:rPr>
          <w:rFonts w:hint="eastAsia"/>
          <w:sz w:val="24"/>
          <w:szCs w:val="24"/>
          <w:u w:val="none"/>
          <w:lang w:val="en-US" w:eastAsia="zh-CN"/>
        </w:rPr>
        <w:t>医院；</w:t>
      </w:r>
      <w:r>
        <w:rPr>
          <w:sz w:val="24"/>
          <w:szCs w:val="24"/>
          <w:u w:val="none"/>
        </w:rPr>
        <w:t>地上</w:t>
      </w:r>
      <w:r>
        <w:rPr>
          <w:rFonts w:hint="eastAsia"/>
          <w:sz w:val="24"/>
          <w:szCs w:val="24"/>
          <w:u w:val="none"/>
          <w:lang w:val="en-US" w:eastAsia="zh-CN"/>
        </w:rPr>
        <w:t>建筑</w:t>
      </w:r>
      <w:r>
        <w:rPr>
          <w:sz w:val="24"/>
          <w:szCs w:val="24"/>
          <w:u w:val="none"/>
        </w:rPr>
        <w:t>：</w:t>
      </w:r>
      <w:r>
        <w:rPr>
          <w:rFonts w:hint="eastAsia"/>
          <w:sz w:val="24"/>
          <w:szCs w:val="24"/>
          <w:u w:val="none"/>
          <w:lang w:val="en-US" w:eastAsia="zh-CN"/>
        </w:rPr>
        <w:t>18</w:t>
      </w:r>
      <w:r>
        <w:rPr>
          <w:sz w:val="24"/>
          <w:szCs w:val="24"/>
          <w:u w:val="none"/>
        </w:rPr>
        <w:t>层</w:t>
      </w:r>
      <w:r>
        <w:rPr>
          <w:rFonts w:hint="eastAsia"/>
          <w:sz w:val="24"/>
          <w:szCs w:val="24"/>
          <w:u w:val="none"/>
          <w:lang w:eastAsia="zh-CN"/>
        </w:rPr>
        <w:t>，</w:t>
      </w:r>
      <w:r>
        <w:rPr>
          <w:sz w:val="24"/>
          <w:szCs w:val="24"/>
          <w:u w:val="none"/>
        </w:rPr>
        <w:t>地下</w:t>
      </w:r>
      <w:r>
        <w:rPr>
          <w:rFonts w:hint="eastAsia"/>
          <w:sz w:val="24"/>
          <w:szCs w:val="24"/>
          <w:u w:val="none"/>
          <w:lang w:val="en-US" w:eastAsia="zh-CN"/>
        </w:rPr>
        <w:t>建筑</w:t>
      </w:r>
      <w:r>
        <w:rPr>
          <w:sz w:val="24"/>
          <w:szCs w:val="24"/>
          <w:u w:val="none"/>
        </w:rPr>
        <w:t>：</w:t>
      </w:r>
      <w:r>
        <w:rPr>
          <w:rFonts w:hint="eastAsia"/>
          <w:spacing w:val="119"/>
          <w:sz w:val="24"/>
          <w:szCs w:val="24"/>
          <w:u w:val="none"/>
          <w:lang w:val="en-US" w:eastAsia="zh-CN"/>
        </w:rPr>
        <w:t>2</w:t>
      </w:r>
      <w:r>
        <w:rPr>
          <w:sz w:val="24"/>
          <w:szCs w:val="24"/>
          <w:u w:val="none"/>
        </w:rPr>
        <w:t>层</w:t>
      </w:r>
      <w:r>
        <w:rPr>
          <w:rFonts w:hint="eastAsia"/>
          <w:sz w:val="24"/>
          <w:szCs w:val="24"/>
          <w:u w:val="none"/>
          <w:lang w:eastAsia="zh-CN"/>
        </w:rPr>
        <w:t>。</w:t>
      </w:r>
    </w:p>
    <w:p w14:paraId="2637B226">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8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（二）智慧消防物联网安全监管系统等主要设备及参数如下：</w:t>
      </w:r>
    </w:p>
    <w:tbl>
      <w:tblPr>
        <w:tblStyle w:val="7"/>
        <w:tblpPr w:leftFromText="180" w:rightFromText="180" w:vertAnchor="text" w:horzAnchor="page" w:tblpX="1921" w:tblpY="293"/>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272"/>
        <w:gridCol w:w="900"/>
        <w:gridCol w:w="890"/>
        <w:gridCol w:w="2528"/>
      </w:tblGrid>
      <w:tr w14:paraId="2ED3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38" w:type="dxa"/>
            <w:noWrap w:val="0"/>
            <w:vAlign w:val="center"/>
          </w:tcPr>
          <w:p w14:paraId="36B5DF29">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272" w:type="dxa"/>
            <w:noWrap w:val="0"/>
            <w:vAlign w:val="center"/>
          </w:tcPr>
          <w:p w14:paraId="6831699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宋体" w:hAnsi="宋体" w:eastAsia="宋体" w:cs="宋体"/>
                <w:sz w:val="24"/>
                <w:szCs w:val="24"/>
              </w:rPr>
            </w:pPr>
            <w:r>
              <w:rPr>
                <w:rFonts w:hint="eastAsia" w:cs="宋体"/>
                <w:sz w:val="24"/>
                <w:szCs w:val="24"/>
                <w:lang w:val="en-US" w:eastAsia="zh-CN"/>
              </w:rPr>
              <w:t>系统</w:t>
            </w:r>
            <w:r>
              <w:rPr>
                <w:rFonts w:hint="eastAsia" w:ascii="宋体" w:hAnsi="宋体" w:eastAsia="宋体" w:cs="宋体"/>
                <w:sz w:val="24"/>
                <w:szCs w:val="24"/>
              </w:rPr>
              <w:t>设备名称</w:t>
            </w:r>
          </w:p>
        </w:tc>
        <w:tc>
          <w:tcPr>
            <w:tcW w:w="900" w:type="dxa"/>
            <w:noWrap w:val="0"/>
            <w:vAlign w:val="center"/>
          </w:tcPr>
          <w:p w14:paraId="287BBA3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890" w:type="dxa"/>
            <w:noWrap w:val="0"/>
            <w:vAlign w:val="center"/>
          </w:tcPr>
          <w:p w14:paraId="22250CB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宋体" w:hAnsi="宋体" w:eastAsia="宋体" w:cs="宋体"/>
                <w:sz w:val="24"/>
                <w:szCs w:val="24"/>
                <w:lang w:eastAsia="zh-CN"/>
              </w:rPr>
            </w:pPr>
            <w:r>
              <w:rPr>
                <w:rFonts w:hint="eastAsia" w:cs="宋体"/>
                <w:sz w:val="24"/>
                <w:szCs w:val="24"/>
                <w:lang w:val="en-US" w:eastAsia="zh-CN"/>
              </w:rPr>
              <w:t>单位</w:t>
            </w:r>
          </w:p>
        </w:tc>
        <w:tc>
          <w:tcPr>
            <w:tcW w:w="2528" w:type="dxa"/>
            <w:noWrap w:val="0"/>
            <w:vAlign w:val="center"/>
          </w:tcPr>
          <w:p w14:paraId="06F5129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备注</w:t>
            </w:r>
          </w:p>
        </w:tc>
      </w:tr>
      <w:tr w14:paraId="11EB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 w:type="dxa"/>
            <w:noWrap w:val="0"/>
            <w:vAlign w:val="center"/>
          </w:tcPr>
          <w:p w14:paraId="1F7565D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272" w:type="dxa"/>
            <w:noWrap w:val="0"/>
            <w:vAlign w:val="center"/>
          </w:tcPr>
          <w:p w14:paraId="3071A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火灾自动报警主机云监测</w:t>
            </w:r>
            <w:r>
              <w:rPr>
                <w:rFonts w:hint="eastAsia" w:cs="宋体"/>
                <w:sz w:val="24"/>
                <w:szCs w:val="24"/>
                <w:lang w:val="en-US" w:eastAsia="zh-CN"/>
              </w:rPr>
              <w:t>系统</w:t>
            </w:r>
          </w:p>
        </w:tc>
        <w:tc>
          <w:tcPr>
            <w:tcW w:w="900" w:type="dxa"/>
            <w:noWrap w:val="0"/>
            <w:vAlign w:val="center"/>
          </w:tcPr>
          <w:p w14:paraId="3383E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w:t>
            </w:r>
          </w:p>
        </w:tc>
        <w:tc>
          <w:tcPr>
            <w:tcW w:w="890" w:type="dxa"/>
            <w:noWrap w:val="0"/>
            <w:vAlign w:val="center"/>
          </w:tcPr>
          <w:p w14:paraId="1D18CB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套</w:t>
            </w:r>
          </w:p>
        </w:tc>
        <w:tc>
          <w:tcPr>
            <w:tcW w:w="2528" w:type="dxa"/>
            <w:noWrap w:val="0"/>
            <w:vAlign w:val="center"/>
          </w:tcPr>
          <w:p w14:paraId="528C3A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14:paraId="7B2F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 w:type="dxa"/>
            <w:noWrap w:val="0"/>
            <w:vAlign w:val="center"/>
          </w:tcPr>
          <w:p w14:paraId="79B4115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272" w:type="dxa"/>
            <w:noWrap w:val="0"/>
            <w:vAlign w:val="center"/>
          </w:tcPr>
          <w:p w14:paraId="3DC77E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default" w:ascii="宋体" w:hAnsi="宋体" w:eastAsia="宋体" w:cs="宋体"/>
                <w:sz w:val="24"/>
                <w:szCs w:val="24"/>
                <w:lang w:val="en-US" w:eastAsia="zh-CN"/>
              </w:rPr>
              <w:t>重点部位可视化、消防控制室远程查岗监管功能</w:t>
            </w:r>
          </w:p>
        </w:tc>
        <w:tc>
          <w:tcPr>
            <w:tcW w:w="900" w:type="dxa"/>
            <w:noWrap w:val="0"/>
            <w:vAlign w:val="center"/>
          </w:tcPr>
          <w:p w14:paraId="5F1548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90" w:type="dxa"/>
            <w:noWrap w:val="0"/>
            <w:vAlign w:val="center"/>
          </w:tcPr>
          <w:p w14:paraId="05BC2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套</w:t>
            </w:r>
          </w:p>
        </w:tc>
        <w:tc>
          <w:tcPr>
            <w:tcW w:w="2528" w:type="dxa"/>
            <w:noWrap w:val="0"/>
            <w:vAlign w:val="center"/>
          </w:tcPr>
          <w:p w14:paraId="65AA09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14:paraId="27C0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 w:type="dxa"/>
            <w:noWrap w:val="0"/>
            <w:vAlign w:val="center"/>
          </w:tcPr>
          <w:p w14:paraId="05F01B5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272" w:type="dxa"/>
            <w:noWrap w:val="0"/>
            <w:vAlign w:val="center"/>
          </w:tcPr>
          <w:p w14:paraId="1E11C4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智慧消防安全隐患巡查功能</w:t>
            </w:r>
          </w:p>
        </w:tc>
        <w:tc>
          <w:tcPr>
            <w:tcW w:w="900" w:type="dxa"/>
            <w:noWrap w:val="0"/>
            <w:vAlign w:val="center"/>
          </w:tcPr>
          <w:p w14:paraId="79DFFD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50</w:t>
            </w:r>
          </w:p>
        </w:tc>
        <w:tc>
          <w:tcPr>
            <w:tcW w:w="890" w:type="dxa"/>
            <w:noWrap w:val="0"/>
            <w:vAlign w:val="center"/>
          </w:tcPr>
          <w:p w14:paraId="56224D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套</w:t>
            </w:r>
          </w:p>
        </w:tc>
        <w:tc>
          <w:tcPr>
            <w:tcW w:w="2528" w:type="dxa"/>
            <w:noWrap w:val="0"/>
            <w:vAlign w:val="center"/>
          </w:tcPr>
          <w:p w14:paraId="5DC00E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14:paraId="33AD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 w:type="dxa"/>
            <w:noWrap w:val="0"/>
            <w:vAlign w:val="center"/>
          </w:tcPr>
          <w:p w14:paraId="7A848F0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272" w:type="dxa"/>
            <w:noWrap w:val="0"/>
            <w:vAlign w:val="center"/>
          </w:tcPr>
          <w:p w14:paraId="390DAC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智慧用电安全云监测功能</w:t>
            </w:r>
          </w:p>
        </w:tc>
        <w:tc>
          <w:tcPr>
            <w:tcW w:w="900" w:type="dxa"/>
            <w:noWrap w:val="0"/>
            <w:vAlign w:val="center"/>
          </w:tcPr>
          <w:p w14:paraId="341425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26</w:t>
            </w:r>
          </w:p>
        </w:tc>
        <w:tc>
          <w:tcPr>
            <w:tcW w:w="890" w:type="dxa"/>
            <w:noWrap w:val="0"/>
            <w:vAlign w:val="center"/>
          </w:tcPr>
          <w:p w14:paraId="78EA27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cs="宋体"/>
                <w:sz w:val="24"/>
                <w:szCs w:val="24"/>
                <w:lang w:val="en-US" w:eastAsia="zh-CN"/>
              </w:rPr>
              <w:t>套</w:t>
            </w:r>
          </w:p>
        </w:tc>
        <w:tc>
          <w:tcPr>
            <w:tcW w:w="2528" w:type="dxa"/>
            <w:noWrap w:val="0"/>
            <w:vAlign w:val="center"/>
          </w:tcPr>
          <w:p w14:paraId="1A4E0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14:paraId="5C2A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 w:type="dxa"/>
            <w:noWrap w:val="0"/>
            <w:vAlign w:val="center"/>
          </w:tcPr>
          <w:p w14:paraId="7F9CA08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272" w:type="dxa"/>
            <w:noWrap w:val="0"/>
            <w:vAlign w:val="center"/>
          </w:tcPr>
          <w:p w14:paraId="10173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建筑</w:t>
            </w:r>
            <w:r>
              <w:rPr>
                <w:rFonts w:hint="eastAsia" w:ascii="宋体" w:hAnsi="宋体" w:eastAsia="宋体" w:cs="宋体"/>
                <w:sz w:val="24"/>
                <w:szCs w:val="24"/>
              </w:rPr>
              <w:t>消防用水监测功能</w:t>
            </w:r>
          </w:p>
        </w:tc>
        <w:tc>
          <w:tcPr>
            <w:tcW w:w="900" w:type="dxa"/>
            <w:noWrap w:val="0"/>
            <w:vAlign w:val="center"/>
          </w:tcPr>
          <w:p w14:paraId="116244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2</w:t>
            </w:r>
          </w:p>
        </w:tc>
        <w:tc>
          <w:tcPr>
            <w:tcW w:w="890" w:type="dxa"/>
            <w:noWrap w:val="0"/>
            <w:vAlign w:val="center"/>
          </w:tcPr>
          <w:p w14:paraId="427A58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cs="宋体"/>
                <w:sz w:val="24"/>
                <w:szCs w:val="24"/>
                <w:lang w:val="en-US" w:eastAsia="zh-CN"/>
              </w:rPr>
              <w:t>个</w:t>
            </w:r>
          </w:p>
        </w:tc>
        <w:tc>
          <w:tcPr>
            <w:tcW w:w="2528" w:type="dxa"/>
            <w:noWrap w:val="0"/>
            <w:vAlign w:val="center"/>
          </w:tcPr>
          <w:p w14:paraId="4BE100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14:paraId="751B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 w:type="dxa"/>
            <w:noWrap w:val="0"/>
            <w:vAlign w:val="center"/>
          </w:tcPr>
          <w:p w14:paraId="328EC49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3272" w:type="dxa"/>
            <w:noWrap w:val="0"/>
            <w:vAlign w:val="center"/>
          </w:tcPr>
          <w:p w14:paraId="10447D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rPr>
              <w:t>建筑消防喷淋末端压力监测功能</w:t>
            </w:r>
          </w:p>
        </w:tc>
        <w:tc>
          <w:tcPr>
            <w:tcW w:w="900" w:type="dxa"/>
            <w:noWrap w:val="0"/>
            <w:vAlign w:val="center"/>
          </w:tcPr>
          <w:p w14:paraId="03A111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宋体" w:hAnsi="宋体" w:eastAsia="宋体" w:cs="宋体"/>
                <w:color w:val="000000"/>
                <w:sz w:val="24"/>
                <w:szCs w:val="24"/>
                <w:lang w:val="en-US" w:eastAsia="zh-CN" w:bidi="zh-CN"/>
              </w:rPr>
            </w:pPr>
            <w:r>
              <w:rPr>
                <w:rFonts w:hint="eastAsia" w:cs="宋体"/>
                <w:color w:val="000000"/>
                <w:sz w:val="24"/>
                <w:szCs w:val="24"/>
                <w:lang w:val="en-US" w:eastAsia="zh-CN"/>
              </w:rPr>
              <w:t>5</w:t>
            </w:r>
          </w:p>
        </w:tc>
        <w:tc>
          <w:tcPr>
            <w:tcW w:w="890" w:type="dxa"/>
            <w:noWrap w:val="0"/>
            <w:vAlign w:val="center"/>
          </w:tcPr>
          <w:p w14:paraId="412F95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000000"/>
                <w:sz w:val="24"/>
                <w:szCs w:val="24"/>
                <w:lang w:val="en-US" w:eastAsia="zh-CN" w:bidi="zh-CN"/>
              </w:rPr>
            </w:pPr>
            <w:r>
              <w:rPr>
                <w:rFonts w:hint="eastAsia" w:cs="宋体"/>
                <w:color w:val="000000"/>
                <w:sz w:val="24"/>
                <w:szCs w:val="24"/>
                <w:lang w:val="en-US" w:eastAsia="zh-CN"/>
              </w:rPr>
              <w:t>个</w:t>
            </w:r>
          </w:p>
        </w:tc>
        <w:tc>
          <w:tcPr>
            <w:tcW w:w="2528" w:type="dxa"/>
            <w:noWrap w:val="0"/>
            <w:vAlign w:val="center"/>
          </w:tcPr>
          <w:p w14:paraId="35BF2E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24"/>
                <w:szCs w:val="24"/>
              </w:rPr>
            </w:pPr>
          </w:p>
        </w:tc>
      </w:tr>
      <w:tr w14:paraId="6D80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 w:type="dxa"/>
            <w:noWrap w:val="0"/>
            <w:vAlign w:val="center"/>
          </w:tcPr>
          <w:p w14:paraId="28F0FDD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272" w:type="dxa"/>
            <w:noWrap w:val="0"/>
            <w:vAlign w:val="center"/>
          </w:tcPr>
          <w:p w14:paraId="74C0A6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rPr>
              <w:t>设备运营信息</w:t>
            </w:r>
            <w:r>
              <w:rPr>
                <w:rFonts w:hint="eastAsia" w:cs="宋体"/>
                <w:sz w:val="24"/>
                <w:szCs w:val="24"/>
                <w:lang w:val="en-US" w:eastAsia="zh-CN"/>
              </w:rPr>
              <w:t>流量保障服务</w:t>
            </w:r>
          </w:p>
        </w:tc>
        <w:tc>
          <w:tcPr>
            <w:tcW w:w="900" w:type="dxa"/>
            <w:noWrap w:val="0"/>
            <w:vAlign w:val="center"/>
          </w:tcPr>
          <w:p w14:paraId="59B06E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宋体" w:hAnsi="宋体" w:eastAsia="宋体" w:cs="宋体"/>
                <w:sz w:val="24"/>
                <w:szCs w:val="24"/>
                <w:lang w:val="en-US" w:eastAsia="zh-CN" w:bidi="zh-CN"/>
              </w:rPr>
            </w:pPr>
            <w:r>
              <w:rPr>
                <w:rFonts w:hint="eastAsia" w:cs="宋体"/>
                <w:sz w:val="24"/>
                <w:szCs w:val="24"/>
                <w:lang w:val="en-US" w:eastAsia="zh-CN"/>
              </w:rPr>
              <w:t>1</w:t>
            </w:r>
          </w:p>
        </w:tc>
        <w:tc>
          <w:tcPr>
            <w:tcW w:w="890" w:type="dxa"/>
            <w:noWrap w:val="0"/>
            <w:vAlign w:val="center"/>
          </w:tcPr>
          <w:p w14:paraId="56266B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宋体" w:hAnsi="宋体" w:eastAsia="宋体" w:cs="宋体"/>
                <w:sz w:val="24"/>
                <w:szCs w:val="24"/>
                <w:lang w:val="en-US" w:eastAsia="zh-CN" w:bidi="zh-CN"/>
              </w:rPr>
            </w:pPr>
            <w:r>
              <w:rPr>
                <w:rFonts w:hint="eastAsia" w:cs="宋体"/>
                <w:sz w:val="24"/>
                <w:szCs w:val="24"/>
                <w:lang w:val="en-US" w:eastAsia="zh-CN"/>
              </w:rPr>
              <w:t>年</w:t>
            </w:r>
          </w:p>
        </w:tc>
        <w:tc>
          <w:tcPr>
            <w:tcW w:w="2528" w:type="dxa"/>
            <w:noWrap w:val="0"/>
            <w:vAlign w:val="center"/>
          </w:tcPr>
          <w:p w14:paraId="5FC05A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p>
        </w:tc>
      </w:tr>
    </w:tbl>
    <w:p w14:paraId="154E68AD">
      <w:pPr>
        <w:pStyle w:val="3"/>
        <w:keepNext w:val="0"/>
        <w:keepLines w:val="0"/>
        <w:pageBreakBefore w:val="0"/>
        <w:widowControl w:val="0"/>
        <w:tabs>
          <w:tab w:val="left" w:pos="1439"/>
          <w:tab w:val="left" w:pos="1799"/>
          <w:tab w:val="left" w:pos="1919"/>
          <w:tab w:val="left" w:pos="2759"/>
          <w:tab w:val="left" w:pos="4099"/>
          <w:tab w:val="left" w:pos="5058"/>
          <w:tab w:val="left" w:pos="5152"/>
          <w:tab w:val="left" w:pos="5418"/>
          <w:tab w:val="left" w:pos="6858"/>
          <w:tab w:val="left" w:pos="9738"/>
          <w:tab w:val="left" w:pos="9901"/>
          <w:tab w:val="left" w:pos="10043"/>
          <w:tab w:val="left" w:pos="10163"/>
        </w:tabs>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hint="eastAsia"/>
          <w:sz w:val="24"/>
          <w:szCs w:val="24"/>
          <w:u w:val="none"/>
          <w:lang w:eastAsia="zh-CN"/>
        </w:rPr>
      </w:pPr>
    </w:p>
    <w:p w14:paraId="02483E2B">
      <w:pPr>
        <w:pStyle w:val="3"/>
        <w:keepNext w:val="0"/>
        <w:keepLines w:val="0"/>
        <w:pageBreakBefore w:val="0"/>
        <w:widowControl w:val="0"/>
        <w:tabs>
          <w:tab w:val="left" w:pos="2039"/>
          <w:tab w:val="left" w:pos="4199"/>
          <w:tab w:val="left" w:pos="4259"/>
          <w:tab w:val="left" w:pos="8140"/>
        </w:tabs>
        <w:kinsoku/>
        <w:wordWrap/>
        <w:overflowPunct/>
        <w:topLinePunct w:val="0"/>
        <w:autoSpaceDE w:val="0"/>
        <w:autoSpaceDN w:val="0"/>
        <w:bidi w:val="0"/>
        <w:adjustRightInd w:val="0"/>
        <w:snapToGrid w:val="0"/>
        <w:spacing w:before="0" w:line="360" w:lineRule="auto"/>
        <w:ind w:left="0" w:leftChars="0" w:right="0" w:rightChars="0" w:firstLine="482" w:firstLineChars="200"/>
        <w:textAlignment w:val="auto"/>
        <w:rPr>
          <w:b/>
          <w:sz w:val="24"/>
          <w:szCs w:val="24"/>
        </w:rPr>
      </w:pPr>
      <w:r>
        <w:rPr>
          <w:rFonts w:hint="eastAsia"/>
          <w:b/>
          <w:bCs/>
          <w:sz w:val="24"/>
          <w:szCs w:val="24"/>
          <w:lang w:val="en-US" w:eastAsia="zh-CN"/>
        </w:rPr>
        <w:t>（三）维护保养服务范围</w:t>
      </w:r>
    </w:p>
    <w:p w14:paraId="10D9EC9F">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1.维护和保障智慧消防物联网安全监管系统正常运行和所有功能正常发挥。实时监测配电柜、消防主机、消防水箱、消防栓、消防器材等相关消防设备设施运行状态，监管项目内各类电器设备线路火灾隐患，一旦发现安全隐患系统自动预警。</w:t>
      </w:r>
    </w:p>
    <w:p w14:paraId="247A876A">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2.维护和保障手机APP应用程序的在线服务和运行。</w:t>
      </w:r>
    </w:p>
    <w:p w14:paraId="259CF71A">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3.维护和保障系统数据传输正常稳定，保证流量和通讯畅通。</w:t>
      </w:r>
    </w:p>
    <w:p w14:paraId="453F4C79">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4.做好软、硬件设备的运行维护、数据分析、警情处置，及时准确提供预警。</w:t>
      </w:r>
    </w:p>
    <w:p w14:paraId="74E623A1">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5.维护服务器的正常运行，做好数据更新、升级、修改等</w:t>
      </w:r>
      <w:r>
        <w:rPr>
          <w:rFonts w:hint="eastAsia" w:cs="宋体"/>
          <w:spacing w:val="-4"/>
          <w:sz w:val="24"/>
          <w:szCs w:val="24"/>
          <w:lang w:val="en-US" w:eastAsia="zh-CN" w:bidi="zh-CN"/>
        </w:rPr>
        <w:t>软件</w:t>
      </w:r>
      <w:r>
        <w:rPr>
          <w:rFonts w:hint="eastAsia" w:ascii="宋体" w:hAnsi="宋体" w:eastAsia="宋体" w:cs="宋体"/>
          <w:spacing w:val="-4"/>
          <w:sz w:val="24"/>
          <w:szCs w:val="24"/>
          <w:lang w:val="en-US" w:eastAsia="zh-CN" w:bidi="zh-CN"/>
        </w:rPr>
        <w:t>服务。</w:t>
      </w:r>
    </w:p>
    <w:p w14:paraId="001C1FC3">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6.保证用户数据存于服务器的安全保密性。</w:t>
      </w:r>
    </w:p>
    <w:p w14:paraId="6C0765A2">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7.保障中心平台与前端监测设备的连接和控制，实时监测前端设备在线状态，并推送监测数据。</w:t>
      </w:r>
    </w:p>
    <w:p w14:paraId="60E2519F">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8.定期检查设备工作状态，发现故障及时排除。对用电设备经常性检查接电情况，保障设备的在线状态；对用电池设备经常性检查电池电量，出现低压时及时更换电池。</w:t>
      </w:r>
    </w:p>
    <w:p w14:paraId="7C306DF9">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9.经常性检查设备完好状态，发现因老旧或损坏而导致的设备故障及时排除或更换设备。</w:t>
      </w:r>
    </w:p>
    <w:p w14:paraId="48B9D335">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eastAsia" w:ascii="宋体" w:hAnsi="宋体" w:eastAsia="宋体" w:cs="宋体"/>
          <w:color w:val="000000"/>
          <w:spacing w:val="-4"/>
          <w:sz w:val="24"/>
          <w:szCs w:val="24"/>
          <w:lang w:val="en-US" w:eastAsia="zh-CN" w:bidi="zh-CN"/>
        </w:rPr>
      </w:pPr>
      <w:r>
        <w:rPr>
          <w:rFonts w:hint="eastAsia" w:ascii="宋体" w:hAnsi="宋体" w:eastAsia="宋体" w:cs="宋体"/>
          <w:spacing w:val="-4"/>
          <w:sz w:val="24"/>
          <w:szCs w:val="24"/>
          <w:lang w:val="en-US" w:eastAsia="zh-CN" w:bidi="zh-CN"/>
        </w:rPr>
        <w:t>10.做好智慧消防管理人员的业务培训，指导和讲解对平台数据的分析、接警处置、电脑端和</w:t>
      </w:r>
      <w:r>
        <w:rPr>
          <w:rFonts w:hint="eastAsia" w:ascii="宋体" w:hAnsi="宋体" w:eastAsia="宋体" w:cs="宋体"/>
          <w:color w:val="000000"/>
          <w:spacing w:val="-4"/>
          <w:sz w:val="24"/>
          <w:szCs w:val="24"/>
          <w:lang w:val="en-US" w:eastAsia="zh-CN" w:bidi="zh-CN"/>
        </w:rPr>
        <w:t>手机APP的使用。</w:t>
      </w:r>
    </w:p>
    <w:p w14:paraId="7824D9F6">
      <w:pPr>
        <w:keepNext w:val="0"/>
        <w:keepLines w:val="0"/>
        <w:pageBreakBefore w:val="0"/>
        <w:widowControl w:val="0"/>
        <w:numPr>
          <w:ilvl w:val="0"/>
          <w:numId w:val="0"/>
        </w:numPr>
        <w:tabs>
          <w:tab w:val="left" w:pos="840"/>
        </w:tabs>
        <w:kinsoku/>
        <w:overflowPunct/>
        <w:topLinePunct w:val="0"/>
        <w:bidi w:val="0"/>
        <w:adjustRightInd w:val="0"/>
        <w:snapToGrid w:val="0"/>
        <w:spacing w:before="0" w:line="360" w:lineRule="auto"/>
        <w:ind w:left="0" w:leftChars="0" w:right="0" w:firstLine="464" w:firstLineChars="200"/>
        <w:textAlignment w:val="auto"/>
        <w:rPr>
          <w:rFonts w:hint="default" w:ascii="宋体" w:hAnsi="宋体" w:eastAsia="宋体" w:cs="宋体"/>
          <w:color w:val="000000"/>
          <w:spacing w:val="-4"/>
          <w:sz w:val="24"/>
          <w:szCs w:val="24"/>
          <w:lang w:val="en-US" w:eastAsia="zh-CN" w:bidi="zh-CN"/>
        </w:rPr>
      </w:pPr>
      <w:r>
        <w:rPr>
          <w:rFonts w:hint="eastAsia" w:cs="宋体"/>
          <w:color w:val="000000"/>
          <w:spacing w:val="-4"/>
          <w:sz w:val="24"/>
          <w:szCs w:val="24"/>
          <w:lang w:val="en-US" w:eastAsia="zh-CN" w:bidi="zh-CN"/>
        </w:rPr>
        <w:t>11.服务单位</w:t>
      </w:r>
      <w:r>
        <w:rPr>
          <w:rFonts w:hint="default" w:ascii="宋体" w:hAnsi="宋体" w:eastAsia="宋体" w:cs="宋体"/>
          <w:color w:val="000000"/>
          <w:spacing w:val="-4"/>
          <w:sz w:val="24"/>
          <w:szCs w:val="24"/>
          <w:lang w:val="en-US" w:eastAsia="zh-CN" w:bidi="zh-CN"/>
        </w:rPr>
        <w:t>承诺必须协调好原维保方平稳、有序、正常将智慧消防系统接入消防监管平台。</w:t>
      </w:r>
    </w:p>
    <w:p w14:paraId="6C9861E7">
      <w:pPr>
        <w:keepNext w:val="0"/>
        <w:keepLines w:val="0"/>
        <w:pageBreakBefore w:val="0"/>
        <w:widowControl w:val="0"/>
        <w:kinsoku/>
        <w:overflowPunct/>
        <w:topLinePunct w:val="0"/>
        <w:autoSpaceDE w:val="0"/>
        <w:autoSpaceDN w:val="0"/>
        <w:bidi w:val="0"/>
        <w:adjustRightInd w:val="0"/>
        <w:snapToGrid w:val="0"/>
        <w:spacing w:before="0" w:line="360" w:lineRule="auto"/>
        <w:ind w:left="0" w:leftChars="0" w:right="0" w:firstLine="482" w:firstLineChars="200"/>
        <w:jc w:val="left"/>
        <w:textAlignment w:val="auto"/>
        <w:rPr>
          <w:rFonts w:hint="eastAsia" w:eastAsia="宋体"/>
          <w:b/>
          <w:color w:val="000000"/>
          <w:sz w:val="24"/>
          <w:szCs w:val="24"/>
          <w:lang w:val="en-US" w:eastAsia="zh-CN"/>
        </w:rPr>
      </w:pPr>
      <w:r>
        <w:rPr>
          <w:rFonts w:hint="eastAsia"/>
          <w:b/>
          <w:bCs/>
          <w:color w:val="000000"/>
          <w:sz w:val="24"/>
          <w:szCs w:val="24"/>
          <w:lang w:val="en-US" w:eastAsia="zh-CN"/>
        </w:rPr>
        <w:t>（三）</w:t>
      </w:r>
      <w:r>
        <w:rPr>
          <w:rFonts w:hint="eastAsia"/>
          <w:b/>
          <w:color w:val="000000"/>
          <w:sz w:val="24"/>
          <w:szCs w:val="24"/>
          <w:lang w:val="en-US" w:eastAsia="zh-CN"/>
        </w:rPr>
        <w:t>项目期限</w:t>
      </w:r>
    </w:p>
    <w:p w14:paraId="3DA87226">
      <w:pPr>
        <w:pStyle w:val="3"/>
        <w:keepNext w:val="0"/>
        <w:keepLines w:val="0"/>
        <w:pageBreakBefore w:val="0"/>
        <w:widowControl w:val="0"/>
        <w:tabs>
          <w:tab w:val="left" w:pos="5151"/>
          <w:tab w:val="left" w:pos="6032"/>
          <w:tab w:val="left" w:pos="7833"/>
          <w:tab w:val="left" w:pos="8552"/>
          <w:tab w:val="left" w:pos="9270"/>
          <w:tab w:val="left" w:pos="10124"/>
        </w:tabs>
        <w:kinsoku/>
        <w:wordWrap w:val="0"/>
        <w:overflowPunct/>
        <w:topLinePunct w:val="0"/>
        <w:autoSpaceDE w:val="0"/>
        <w:autoSpaceDN w:val="0"/>
        <w:bidi w:val="0"/>
        <w:adjustRightInd w:val="0"/>
        <w:snapToGrid w:val="0"/>
        <w:spacing w:before="0" w:line="360" w:lineRule="auto"/>
        <w:ind w:left="0" w:leftChars="0" w:right="0" w:firstLine="480" w:firstLineChars="200"/>
        <w:textAlignment w:val="auto"/>
        <w:rPr>
          <w:color w:val="000000"/>
          <w:sz w:val="24"/>
          <w:szCs w:val="24"/>
          <w:u w:val="none"/>
        </w:rPr>
      </w:pPr>
      <w:r>
        <w:rPr>
          <w:color w:val="000000"/>
          <w:sz w:val="24"/>
          <w:szCs w:val="24"/>
        </w:rPr>
        <w:t>1</w:t>
      </w:r>
      <w:r>
        <w:rPr>
          <w:rFonts w:hint="eastAsia"/>
          <w:color w:val="000000"/>
          <w:sz w:val="24"/>
          <w:szCs w:val="24"/>
          <w:lang w:val="en-US" w:eastAsia="zh-CN"/>
        </w:rPr>
        <w:t>.</w:t>
      </w:r>
      <w:r>
        <w:rPr>
          <w:color w:val="000000"/>
          <w:sz w:val="24"/>
          <w:szCs w:val="24"/>
          <w:u w:val="none"/>
        </w:rPr>
        <w:t>本次消防系统维护</w:t>
      </w:r>
      <w:r>
        <w:rPr>
          <w:rFonts w:hint="eastAsia"/>
          <w:color w:val="000000"/>
          <w:sz w:val="24"/>
          <w:szCs w:val="24"/>
          <w:u w:val="none"/>
          <w:lang w:val="en-US" w:eastAsia="zh-CN"/>
        </w:rPr>
        <w:t>期限</w:t>
      </w:r>
      <w:r>
        <w:rPr>
          <w:color w:val="000000"/>
          <w:sz w:val="24"/>
          <w:szCs w:val="24"/>
          <w:u w:val="none"/>
        </w:rPr>
        <w:t>为</w:t>
      </w:r>
      <w:r>
        <w:rPr>
          <w:rFonts w:hint="eastAsia"/>
          <w:color w:val="000000"/>
          <w:spacing w:val="-1"/>
          <w:sz w:val="24"/>
          <w:szCs w:val="24"/>
          <w:u w:val="none"/>
          <w:lang w:val="en-US" w:eastAsia="zh-CN"/>
        </w:rPr>
        <w:t>壹</w:t>
      </w:r>
      <w:r>
        <w:rPr>
          <w:rFonts w:hint="eastAsia"/>
          <w:color w:val="000000"/>
          <w:sz w:val="24"/>
          <w:szCs w:val="24"/>
          <w:u w:val="none"/>
          <w:lang w:eastAsia="zh-CN"/>
        </w:rPr>
        <w:t>年</w:t>
      </w:r>
      <w:r>
        <w:rPr>
          <w:color w:val="000000"/>
          <w:sz w:val="24"/>
          <w:szCs w:val="24"/>
          <w:u w:val="none"/>
        </w:rPr>
        <w:t>。</w:t>
      </w:r>
    </w:p>
    <w:p w14:paraId="01B855AE">
      <w:pPr>
        <w:pStyle w:val="3"/>
        <w:keepNext w:val="0"/>
        <w:keepLines w:val="0"/>
        <w:pageBreakBefore w:val="0"/>
        <w:widowControl w:val="0"/>
        <w:tabs>
          <w:tab w:val="left" w:pos="4679"/>
          <w:tab w:val="left" w:pos="6959"/>
          <w:tab w:val="left" w:pos="8939"/>
        </w:tabs>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eastAsia" w:cs="宋体"/>
          <w:sz w:val="24"/>
          <w:szCs w:val="24"/>
          <w:lang w:eastAsia="zh-CN"/>
        </w:rPr>
      </w:pPr>
      <w:r>
        <w:rPr>
          <w:color w:val="000000"/>
          <w:sz w:val="24"/>
          <w:szCs w:val="24"/>
          <w:u w:val="none"/>
        </w:rPr>
        <w:t>2</w:t>
      </w:r>
      <w:r>
        <w:rPr>
          <w:rFonts w:hint="eastAsia"/>
          <w:color w:val="000000"/>
          <w:sz w:val="24"/>
          <w:szCs w:val="24"/>
          <w:lang w:val="en-US" w:eastAsia="zh-CN"/>
        </w:rPr>
        <w:t>.</w:t>
      </w:r>
      <w:r>
        <w:rPr>
          <w:rFonts w:hint="eastAsia" w:cs="宋体"/>
          <w:color w:val="000000"/>
          <w:sz w:val="24"/>
          <w:szCs w:val="24"/>
          <w:lang w:val="en-US" w:eastAsia="zh-CN"/>
        </w:rPr>
        <w:t>服务期内为保障系统正常运转、各项功能正常发挥，维护所产生的费用均由服</w:t>
      </w:r>
      <w:r>
        <w:rPr>
          <w:rFonts w:hint="eastAsia" w:cs="宋体"/>
          <w:sz w:val="24"/>
          <w:szCs w:val="24"/>
          <w:lang w:val="en-US" w:eastAsia="zh-CN"/>
        </w:rPr>
        <w:t>务单位承担，包括但不限于（维修</w:t>
      </w:r>
      <w:r>
        <w:rPr>
          <w:rFonts w:hint="eastAsia" w:cs="宋体"/>
          <w:sz w:val="24"/>
          <w:szCs w:val="24"/>
          <w:lang w:eastAsia="zh-CN"/>
        </w:rPr>
        <w:t>材料、</w:t>
      </w:r>
      <w:r>
        <w:rPr>
          <w:rFonts w:hint="eastAsia" w:cs="宋体"/>
          <w:sz w:val="24"/>
          <w:szCs w:val="24"/>
          <w:lang w:val="en-US" w:eastAsia="zh-CN"/>
        </w:rPr>
        <w:t>维修工价、信息流量费用）</w:t>
      </w:r>
      <w:r>
        <w:rPr>
          <w:rFonts w:hint="eastAsia" w:cs="宋体"/>
          <w:sz w:val="24"/>
          <w:szCs w:val="24"/>
          <w:lang w:eastAsia="zh-CN"/>
        </w:rPr>
        <w:t>。</w:t>
      </w:r>
    </w:p>
    <w:p w14:paraId="66547B20">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0" w:leftChars="0" w:right="0" w:rightChars="0" w:firstLine="482" w:firstLineChars="200"/>
        <w:textAlignment w:val="auto"/>
        <w:rPr>
          <w:rFonts w:ascii="宋体" w:hAnsi="宋体" w:eastAsia="宋体" w:cs="宋体"/>
          <w:b/>
          <w:sz w:val="24"/>
          <w:szCs w:val="24"/>
          <w:lang w:val="zh-CN" w:eastAsia="zh-CN" w:bidi="zh-CN"/>
        </w:rPr>
      </w:pPr>
      <w:r>
        <w:rPr>
          <w:rFonts w:hint="eastAsia" w:cs="宋体"/>
          <w:b/>
          <w:sz w:val="24"/>
          <w:szCs w:val="24"/>
          <w:lang w:val="en-US" w:eastAsia="zh-CN" w:bidi="zh-CN"/>
        </w:rPr>
        <w:t>二、</w:t>
      </w:r>
      <w:r>
        <w:rPr>
          <w:rFonts w:ascii="宋体" w:hAnsi="宋体" w:eastAsia="宋体" w:cs="宋体"/>
          <w:b/>
          <w:sz w:val="24"/>
          <w:szCs w:val="24"/>
          <w:lang w:val="zh-CN" w:eastAsia="zh-CN" w:bidi="zh-CN"/>
        </w:rPr>
        <w:t>维护保养质量</w:t>
      </w:r>
    </w:p>
    <w:p w14:paraId="611BA39F">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lang w:val="en-US" w:eastAsia="zh-CN"/>
        </w:rPr>
        <w:t>基本</w:t>
      </w:r>
      <w:r>
        <w:rPr>
          <w:sz w:val="24"/>
          <w:szCs w:val="24"/>
        </w:rPr>
        <w:t>要求</w:t>
      </w:r>
    </w:p>
    <w:p w14:paraId="149D55A6">
      <w:pPr>
        <w:pStyle w:val="3"/>
        <w:keepNext w:val="0"/>
        <w:keepLines w:val="0"/>
        <w:pageBreakBefore w:val="0"/>
        <w:widowControl w:val="0"/>
        <w:kinsoku/>
        <w:wordWrap w:val="0"/>
        <w:overflowPunct/>
        <w:topLinePunct w:val="0"/>
        <w:autoSpaceDE w:val="0"/>
        <w:autoSpaceDN w:val="0"/>
        <w:bidi w:val="0"/>
        <w:adjustRightInd w:val="0"/>
        <w:snapToGrid w:val="0"/>
        <w:spacing w:before="0" w:line="360" w:lineRule="auto"/>
        <w:ind w:left="0" w:leftChars="0" w:right="0" w:firstLine="480" w:firstLineChars="200"/>
        <w:textAlignment w:val="auto"/>
        <w:rPr>
          <w:sz w:val="24"/>
          <w:szCs w:val="24"/>
        </w:rPr>
      </w:pPr>
      <w:r>
        <w:rPr>
          <w:rFonts w:hint="eastAsia"/>
          <w:sz w:val="24"/>
          <w:szCs w:val="24"/>
          <w:lang w:val="en-US" w:eastAsia="zh-CN"/>
        </w:rPr>
        <w:t>1.</w:t>
      </w:r>
      <w:r>
        <w:rPr>
          <w:sz w:val="24"/>
          <w:szCs w:val="24"/>
        </w:rPr>
        <w:t>本项目消防设施维护保养质量标准必须符合《建筑消防设施的维护管理》（GB25201）《建筑消防设施的维护技术规范》（DB52/T1152--2016）</w:t>
      </w:r>
      <w:r>
        <w:rPr>
          <w:rFonts w:hint="eastAsia"/>
          <w:sz w:val="24"/>
          <w:szCs w:val="24"/>
          <w:lang w:eastAsia="zh-CN"/>
        </w:rPr>
        <w:t>《</w:t>
      </w:r>
      <w:r>
        <w:rPr>
          <w:rFonts w:hint="eastAsia"/>
          <w:sz w:val="24"/>
          <w:szCs w:val="24"/>
        </w:rPr>
        <w:t>火灾探测报警产品的维修保养与报废</w:t>
      </w:r>
      <w:r>
        <w:rPr>
          <w:rFonts w:hint="eastAsia"/>
          <w:sz w:val="24"/>
          <w:szCs w:val="24"/>
          <w:lang w:eastAsia="zh-CN"/>
        </w:rPr>
        <w:t>》（</w:t>
      </w:r>
      <w:r>
        <w:rPr>
          <w:rFonts w:hint="eastAsia"/>
          <w:sz w:val="24"/>
          <w:szCs w:val="24"/>
        </w:rPr>
        <w:t>GB29837-2013</w:t>
      </w:r>
      <w:r>
        <w:rPr>
          <w:rFonts w:hint="eastAsia"/>
          <w:sz w:val="24"/>
          <w:szCs w:val="24"/>
          <w:lang w:eastAsia="zh-CN"/>
        </w:rPr>
        <w:t>）《民用建筑电气线路防火设计标准》（T/ASC 23-2021）</w:t>
      </w:r>
      <w:r>
        <w:rPr>
          <w:sz w:val="24"/>
          <w:szCs w:val="24"/>
        </w:rPr>
        <w:t>及现行国家有关消防设施系统相关规范和标准的要求。有关项目服务质量的特殊标准或要求</w:t>
      </w:r>
      <w:r>
        <w:rPr>
          <w:rFonts w:hint="eastAsia"/>
          <w:sz w:val="24"/>
          <w:szCs w:val="24"/>
          <w:lang w:eastAsia="zh-CN"/>
        </w:rPr>
        <w:t>，</w:t>
      </w:r>
      <w:r>
        <w:rPr>
          <w:rFonts w:hint="eastAsia"/>
          <w:sz w:val="24"/>
          <w:szCs w:val="24"/>
          <w:lang w:val="en-US" w:eastAsia="zh-CN"/>
        </w:rPr>
        <w:t>可</w:t>
      </w:r>
      <w:r>
        <w:rPr>
          <w:sz w:val="24"/>
          <w:szCs w:val="24"/>
        </w:rPr>
        <w:t>另行约定。</w:t>
      </w:r>
    </w:p>
    <w:p w14:paraId="48640393">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default"/>
          <w:b w:val="0"/>
          <w:bCs w:val="0"/>
          <w:sz w:val="24"/>
          <w:szCs w:val="24"/>
          <w:lang w:val="en-US" w:eastAsia="zh-CN"/>
        </w:rPr>
      </w:pPr>
      <w:r>
        <w:rPr>
          <w:rFonts w:hint="eastAsia"/>
          <w:b w:val="0"/>
          <w:bCs w:val="0"/>
          <w:sz w:val="24"/>
          <w:szCs w:val="24"/>
          <w:lang w:val="en-US" w:eastAsia="zh-CN"/>
        </w:rPr>
        <w:t>2.服务单位需全面负责本项目范围内的消防设施维护保养，按相关法律法规行业标准，认真履行维保责任，确保相关设备设施始终有效运行，同时日常维保服务中应兼顾建筑消防等其他消防设备设施隐患排查和报告职责。因服务单位疏忽或偷工减料等不按规范、不认真落实维保责任造成的一切后果，服务单位承诺承担全部责任。</w:t>
      </w:r>
    </w:p>
    <w:p w14:paraId="653BF412">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eastAsia"/>
          <w:b w:val="0"/>
          <w:bCs w:val="0"/>
          <w:sz w:val="24"/>
          <w:szCs w:val="24"/>
          <w:lang w:val="en-US" w:eastAsia="zh-CN"/>
        </w:rPr>
      </w:pPr>
      <w:r>
        <w:rPr>
          <w:rFonts w:hint="eastAsia"/>
          <w:b w:val="0"/>
          <w:bCs w:val="0"/>
          <w:sz w:val="24"/>
          <w:szCs w:val="24"/>
          <w:lang w:val="en-US" w:eastAsia="zh-CN"/>
        </w:rPr>
        <w:t>3.</w:t>
      </w:r>
      <w:r>
        <w:rPr>
          <w:rFonts w:hint="eastAsia"/>
          <w:b w:val="0"/>
          <w:bCs w:val="0"/>
          <w:sz w:val="24"/>
          <w:szCs w:val="24"/>
          <w:lang w:eastAsia="zh-CN"/>
        </w:rPr>
        <w:t>未经</w:t>
      </w:r>
      <w:r>
        <w:rPr>
          <w:rFonts w:hint="eastAsia"/>
          <w:b w:val="0"/>
          <w:bCs w:val="0"/>
          <w:sz w:val="24"/>
          <w:szCs w:val="24"/>
          <w:lang w:val="en-US" w:eastAsia="zh-CN"/>
        </w:rPr>
        <w:t>院</w:t>
      </w:r>
      <w:r>
        <w:rPr>
          <w:rFonts w:hint="eastAsia"/>
          <w:b w:val="0"/>
          <w:bCs w:val="0"/>
          <w:sz w:val="24"/>
          <w:szCs w:val="24"/>
          <w:lang w:eastAsia="zh-CN"/>
        </w:rPr>
        <w:t>方事先书面同意，</w:t>
      </w:r>
      <w:r>
        <w:rPr>
          <w:rFonts w:hint="eastAsia"/>
          <w:b w:val="0"/>
          <w:bCs w:val="0"/>
          <w:sz w:val="24"/>
          <w:szCs w:val="24"/>
          <w:lang w:val="en-US" w:eastAsia="zh-CN"/>
        </w:rPr>
        <w:t>服务单位</w:t>
      </w:r>
      <w:r>
        <w:rPr>
          <w:rFonts w:hint="eastAsia"/>
          <w:b w:val="0"/>
          <w:bCs w:val="0"/>
          <w:sz w:val="24"/>
          <w:szCs w:val="24"/>
          <w:lang w:eastAsia="zh-CN"/>
        </w:rPr>
        <w:t>不</w:t>
      </w:r>
      <w:r>
        <w:rPr>
          <w:rFonts w:hint="eastAsia"/>
          <w:b w:val="0"/>
          <w:bCs w:val="0"/>
          <w:sz w:val="24"/>
          <w:szCs w:val="24"/>
          <w:lang w:val="en-US" w:eastAsia="zh-CN"/>
        </w:rPr>
        <w:t>得将本项目部分或全部转让或替代给任何第三方。</w:t>
      </w:r>
    </w:p>
    <w:p w14:paraId="744780FF">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eastAsia"/>
          <w:b w:val="0"/>
          <w:bCs w:val="0"/>
          <w:sz w:val="24"/>
          <w:szCs w:val="24"/>
          <w:lang w:val="en-US" w:eastAsia="zh-CN"/>
        </w:rPr>
      </w:pPr>
      <w:r>
        <w:rPr>
          <w:rFonts w:hint="eastAsia"/>
          <w:b w:val="0"/>
          <w:bCs w:val="0"/>
          <w:sz w:val="24"/>
          <w:szCs w:val="24"/>
          <w:lang w:val="en-US" w:eastAsia="zh-CN"/>
        </w:rPr>
        <w:t>4.服务单位应明确一位项目负责人，全面负责该项目的维护保养工作。项目负责人需持有：一级注册消防工程师证，相关管理人员需提前报院方审核批准。</w:t>
      </w:r>
    </w:p>
    <w:p w14:paraId="17FD1B9F">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spacing w:val="-3"/>
          <w:sz w:val="24"/>
          <w:szCs w:val="24"/>
        </w:rPr>
      </w:pPr>
      <w:r>
        <w:rPr>
          <w:rFonts w:hint="eastAsia"/>
          <w:spacing w:val="-3"/>
          <w:sz w:val="24"/>
          <w:szCs w:val="24"/>
          <w:lang w:val="en-US" w:eastAsia="zh-CN"/>
        </w:rPr>
        <w:t>5.</w:t>
      </w:r>
      <w:r>
        <w:rPr>
          <w:rFonts w:hint="eastAsia"/>
          <w:b w:val="0"/>
          <w:bCs w:val="0"/>
          <w:sz w:val="24"/>
          <w:szCs w:val="24"/>
          <w:lang w:val="en-US" w:eastAsia="zh-CN"/>
        </w:rPr>
        <w:t>服务单位</w:t>
      </w:r>
      <w:r>
        <w:rPr>
          <w:spacing w:val="-3"/>
          <w:sz w:val="24"/>
          <w:szCs w:val="24"/>
        </w:rPr>
        <w:t>派往维护保养现场的主要管理人员、技术人员应相对稳定</w:t>
      </w:r>
      <w:r>
        <w:rPr>
          <w:rFonts w:hint="eastAsia"/>
          <w:spacing w:val="-3"/>
          <w:sz w:val="24"/>
          <w:szCs w:val="24"/>
          <w:lang w:eastAsia="zh-CN"/>
        </w:rPr>
        <w:t>，</w:t>
      </w:r>
      <w:r>
        <w:rPr>
          <w:rFonts w:hint="eastAsia"/>
          <w:spacing w:val="-3"/>
          <w:sz w:val="24"/>
          <w:szCs w:val="24"/>
          <w:lang w:val="en-US" w:eastAsia="zh-CN"/>
        </w:rPr>
        <w:t>不得擅自变更，</w:t>
      </w:r>
      <w:r>
        <w:rPr>
          <w:spacing w:val="-3"/>
          <w:sz w:val="24"/>
          <w:szCs w:val="24"/>
        </w:rPr>
        <w:t>维护保养作业人员均应持有相应的资格证件。</w:t>
      </w:r>
      <w:r>
        <w:rPr>
          <w:rFonts w:hint="eastAsia"/>
          <w:spacing w:val="-3"/>
          <w:sz w:val="24"/>
          <w:szCs w:val="24"/>
          <w:lang w:val="en-US" w:eastAsia="zh-CN"/>
        </w:rPr>
        <w:t>项目服务期间确需变更的应提前5个工作日向院方负责人申请变更</w:t>
      </w:r>
      <w:r>
        <w:rPr>
          <w:spacing w:val="-3"/>
          <w:sz w:val="24"/>
          <w:szCs w:val="24"/>
        </w:rPr>
        <w:t>，</w:t>
      </w:r>
      <w:r>
        <w:rPr>
          <w:rFonts w:hint="eastAsia"/>
          <w:spacing w:val="-3"/>
          <w:sz w:val="24"/>
          <w:szCs w:val="24"/>
          <w:lang w:val="en-US" w:eastAsia="zh-CN"/>
        </w:rPr>
        <w:t>并</w:t>
      </w:r>
      <w:r>
        <w:rPr>
          <w:spacing w:val="-3"/>
          <w:sz w:val="24"/>
          <w:szCs w:val="24"/>
        </w:rPr>
        <w:t>提交人员变动情况的报告资料</w:t>
      </w:r>
      <w:r>
        <w:rPr>
          <w:rFonts w:hint="eastAsia"/>
          <w:spacing w:val="-3"/>
          <w:sz w:val="24"/>
          <w:szCs w:val="24"/>
          <w:lang w:eastAsia="zh-CN"/>
        </w:rPr>
        <w:t>，</w:t>
      </w:r>
      <w:r>
        <w:rPr>
          <w:rFonts w:hint="eastAsia"/>
          <w:spacing w:val="-3"/>
          <w:sz w:val="24"/>
          <w:szCs w:val="24"/>
          <w:lang w:val="en-US" w:eastAsia="zh-CN"/>
        </w:rPr>
        <w:t>审核通过后方可变更</w:t>
      </w:r>
      <w:r>
        <w:rPr>
          <w:spacing w:val="-3"/>
          <w:sz w:val="24"/>
          <w:szCs w:val="24"/>
        </w:rPr>
        <w:t>。</w:t>
      </w:r>
    </w:p>
    <w:p w14:paraId="062CF052">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68" w:firstLineChars="200"/>
        <w:textAlignment w:val="auto"/>
        <w:rPr>
          <w:spacing w:val="-3"/>
          <w:sz w:val="24"/>
          <w:szCs w:val="24"/>
        </w:rPr>
      </w:pPr>
      <w:r>
        <w:rPr>
          <w:rFonts w:hint="eastAsia"/>
          <w:spacing w:val="-3"/>
          <w:sz w:val="24"/>
          <w:szCs w:val="24"/>
          <w:lang w:val="en-US" w:eastAsia="zh-CN"/>
        </w:rPr>
        <w:t>6.</w:t>
      </w:r>
      <w:r>
        <w:rPr>
          <w:rFonts w:hint="eastAsia"/>
          <w:b w:val="0"/>
          <w:bCs w:val="0"/>
          <w:sz w:val="24"/>
          <w:szCs w:val="24"/>
          <w:lang w:val="en-US" w:eastAsia="zh-CN"/>
        </w:rPr>
        <w:t>服务单位</w:t>
      </w:r>
      <w:r>
        <w:rPr>
          <w:rFonts w:hint="eastAsia"/>
          <w:spacing w:val="-3"/>
          <w:sz w:val="24"/>
          <w:szCs w:val="24"/>
          <w:lang w:val="en-US" w:eastAsia="zh-CN"/>
        </w:rPr>
        <w:t>应根据相关要求，完善</w:t>
      </w:r>
      <w:r>
        <w:rPr>
          <w:rFonts w:hint="eastAsia" w:ascii="宋体" w:hAnsi="宋体" w:eastAsia="宋体" w:cs="宋体"/>
          <w:spacing w:val="-3"/>
          <w:sz w:val="24"/>
          <w:szCs w:val="24"/>
          <w:lang w:val="en-US" w:eastAsia="zh-CN" w:bidi="zh-CN"/>
        </w:rPr>
        <w:t>相关工作制定相关操作规范操作流程，制定年度、季度、月度服务计划，提交院方审核后严格</w:t>
      </w:r>
      <w:r>
        <w:rPr>
          <w:rFonts w:hint="eastAsia"/>
          <w:spacing w:val="-3"/>
          <w:sz w:val="24"/>
          <w:szCs w:val="24"/>
          <w:lang w:val="en-US" w:eastAsia="zh-CN"/>
        </w:rPr>
        <w:t>落实，积极主动开展工作，担当作为，按要求建立工作档案，服务过程中主动接受院方监督检查，认真完成检查中提出的整改意见</w:t>
      </w:r>
      <w:r>
        <w:rPr>
          <w:spacing w:val="-3"/>
          <w:sz w:val="24"/>
          <w:szCs w:val="24"/>
        </w:rPr>
        <w:t>。</w:t>
      </w:r>
    </w:p>
    <w:p w14:paraId="1D50C9E1">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sz w:val="24"/>
          <w:szCs w:val="24"/>
        </w:rPr>
      </w:pPr>
      <w:r>
        <w:rPr>
          <w:rFonts w:hint="eastAsia" w:cs="宋体"/>
          <w:sz w:val="24"/>
          <w:szCs w:val="24"/>
          <w:lang w:val="en-US" w:eastAsia="zh-CN" w:bidi="zh-CN"/>
        </w:rPr>
        <w:t>7.</w:t>
      </w:r>
      <w:r>
        <w:rPr>
          <w:rFonts w:hint="eastAsia"/>
          <w:b w:val="0"/>
          <w:bCs w:val="0"/>
          <w:sz w:val="24"/>
          <w:szCs w:val="24"/>
          <w:lang w:val="en-US" w:eastAsia="zh-CN"/>
        </w:rPr>
        <w:t>服务单位</w:t>
      </w:r>
      <w:r>
        <w:rPr>
          <w:sz w:val="24"/>
          <w:szCs w:val="24"/>
        </w:rPr>
        <w:t>应对维护人员进行质量教育和技术培训，定期考核维护人员的业务技能，严格执行相关规范和操作规程。</w:t>
      </w:r>
    </w:p>
    <w:p w14:paraId="5D16CD7C">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hint="eastAsia"/>
          <w:sz w:val="24"/>
          <w:szCs w:val="24"/>
          <w:lang w:eastAsia="zh-CN"/>
        </w:rPr>
      </w:pPr>
      <w:r>
        <w:rPr>
          <w:rFonts w:hint="eastAsia"/>
          <w:sz w:val="24"/>
          <w:szCs w:val="24"/>
          <w:lang w:val="en-US" w:eastAsia="zh-CN"/>
        </w:rPr>
        <w:t>8.院方</w:t>
      </w:r>
      <w:r>
        <w:rPr>
          <w:rFonts w:hint="eastAsia"/>
          <w:sz w:val="24"/>
          <w:szCs w:val="24"/>
          <w:lang w:val="zh-CN" w:eastAsia="zh-CN"/>
        </w:rPr>
        <w:t>对</w:t>
      </w:r>
      <w:r>
        <w:rPr>
          <w:rFonts w:hint="eastAsia"/>
          <w:b w:val="0"/>
          <w:bCs w:val="0"/>
          <w:sz w:val="24"/>
          <w:szCs w:val="24"/>
          <w:lang w:val="en-US" w:eastAsia="zh-CN"/>
        </w:rPr>
        <w:t>服务单位</w:t>
      </w:r>
      <w:r>
        <w:rPr>
          <w:rFonts w:hint="eastAsia"/>
          <w:sz w:val="24"/>
          <w:szCs w:val="24"/>
          <w:lang w:val="zh-CN" w:eastAsia="zh-CN"/>
        </w:rPr>
        <w:t>维护保养工作人员进行月检查考评，有权对不称职的项目负责人、维护保养人员提出更换要求，如发生合计</w:t>
      </w:r>
      <w:r>
        <w:rPr>
          <w:rFonts w:hint="eastAsia"/>
          <w:sz w:val="24"/>
          <w:szCs w:val="24"/>
          <w:lang w:val="en-US" w:eastAsia="zh-CN"/>
        </w:rPr>
        <w:t>3个月考评不合格的，可终止合同</w:t>
      </w:r>
      <w:r>
        <w:rPr>
          <w:rFonts w:hint="eastAsia"/>
          <w:sz w:val="24"/>
          <w:szCs w:val="24"/>
          <w:lang w:val="zh-CN" w:eastAsia="zh-CN"/>
        </w:rPr>
        <w:t>。</w:t>
      </w:r>
      <w:r>
        <w:rPr>
          <w:rFonts w:hint="eastAsia"/>
          <w:sz w:val="24"/>
          <w:szCs w:val="24"/>
          <w:lang w:eastAsia="zh-CN"/>
        </w:rPr>
        <w:t>（附件</w:t>
      </w:r>
      <w:r>
        <w:rPr>
          <w:rFonts w:hint="eastAsia"/>
          <w:sz w:val="24"/>
          <w:szCs w:val="24"/>
          <w:lang w:val="en-US" w:eastAsia="zh-CN"/>
        </w:rPr>
        <w:t>1</w:t>
      </w:r>
      <w:r>
        <w:rPr>
          <w:rFonts w:hint="eastAsia"/>
          <w:sz w:val="24"/>
          <w:szCs w:val="24"/>
          <w:lang w:eastAsia="zh-CN"/>
        </w:rPr>
        <w:t>：月度考评表）</w:t>
      </w:r>
    </w:p>
    <w:p w14:paraId="54A4B4E6">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hint="default"/>
          <w:sz w:val="24"/>
          <w:szCs w:val="24"/>
          <w:lang w:val="en-US" w:eastAsia="zh-CN"/>
        </w:rPr>
      </w:pPr>
      <w:r>
        <w:rPr>
          <w:rFonts w:hint="eastAsia"/>
          <w:sz w:val="24"/>
          <w:szCs w:val="24"/>
          <w:lang w:val="en-US" w:eastAsia="zh-CN"/>
        </w:rPr>
        <w:t>9.在合同到期前1个月内，保卫部门组织医院相关科室根据</w:t>
      </w:r>
      <w:r>
        <w:rPr>
          <w:rFonts w:hint="eastAsia"/>
          <w:b w:val="0"/>
          <w:bCs w:val="0"/>
          <w:sz w:val="24"/>
          <w:szCs w:val="24"/>
          <w:lang w:val="en-US" w:eastAsia="zh-CN"/>
        </w:rPr>
        <w:t>服务单位</w:t>
      </w:r>
      <w:r>
        <w:rPr>
          <w:rFonts w:hint="eastAsia"/>
          <w:sz w:val="24"/>
          <w:szCs w:val="24"/>
          <w:lang w:val="en-US" w:eastAsia="zh-CN"/>
        </w:rPr>
        <w:t>月度评价，综合日常工作情况进行整个年度考核，考核不合格的不再合作，且取消</w:t>
      </w:r>
      <w:r>
        <w:rPr>
          <w:rFonts w:hint="eastAsia"/>
          <w:b w:val="0"/>
          <w:bCs w:val="0"/>
          <w:sz w:val="24"/>
          <w:szCs w:val="24"/>
          <w:lang w:val="en-US" w:eastAsia="zh-CN"/>
        </w:rPr>
        <w:t>服务单位</w:t>
      </w:r>
      <w:r>
        <w:rPr>
          <w:rFonts w:hint="eastAsia"/>
          <w:sz w:val="24"/>
          <w:szCs w:val="24"/>
          <w:lang w:val="en-US" w:eastAsia="zh-CN"/>
        </w:rPr>
        <w:t>下一年度的合作资格。（</w:t>
      </w:r>
      <w:r>
        <w:rPr>
          <w:rFonts w:hint="eastAsia"/>
          <w:sz w:val="24"/>
          <w:szCs w:val="24"/>
          <w:lang w:eastAsia="zh-CN"/>
        </w:rPr>
        <w:t>附件</w:t>
      </w:r>
      <w:r>
        <w:rPr>
          <w:rFonts w:hint="eastAsia"/>
          <w:sz w:val="24"/>
          <w:szCs w:val="24"/>
          <w:lang w:val="en-US" w:eastAsia="zh-CN"/>
        </w:rPr>
        <w:t>2</w:t>
      </w:r>
      <w:r>
        <w:rPr>
          <w:rFonts w:hint="eastAsia"/>
          <w:sz w:val="24"/>
          <w:szCs w:val="24"/>
          <w:lang w:eastAsia="zh-CN"/>
        </w:rPr>
        <w:t>：年终考评表</w:t>
      </w:r>
      <w:r>
        <w:rPr>
          <w:rFonts w:hint="eastAsia"/>
          <w:sz w:val="24"/>
          <w:szCs w:val="24"/>
          <w:lang w:val="en-US" w:eastAsia="zh-CN"/>
        </w:rPr>
        <w:t>）</w:t>
      </w:r>
    </w:p>
    <w:p w14:paraId="1ED8B0CC">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left"/>
        <w:textAlignment w:val="auto"/>
        <w:rPr>
          <w:spacing w:val="-12"/>
          <w:sz w:val="24"/>
          <w:szCs w:val="24"/>
          <w:u w:val="none"/>
        </w:rPr>
      </w:pPr>
      <w:r>
        <w:rPr>
          <w:rFonts w:hint="eastAsia"/>
          <w:sz w:val="24"/>
          <w:szCs w:val="24"/>
          <w:lang w:val="en-US" w:eastAsia="zh-CN"/>
        </w:rPr>
        <w:t>10.</w:t>
      </w:r>
      <w:r>
        <w:rPr>
          <w:sz w:val="24"/>
          <w:szCs w:val="24"/>
        </w:rPr>
        <w:t>提供24小时维护保养服务电话，接到</w:t>
      </w:r>
      <w:r>
        <w:rPr>
          <w:rFonts w:hint="eastAsia"/>
          <w:sz w:val="24"/>
          <w:szCs w:val="24"/>
          <w:lang w:eastAsia="zh-CN"/>
        </w:rPr>
        <w:t>院方</w:t>
      </w:r>
      <w:r>
        <w:rPr>
          <w:sz w:val="24"/>
          <w:szCs w:val="24"/>
        </w:rPr>
        <w:t>故障通知后，应于48小时内派遣服务技术人员到场维护处理。</w:t>
      </w:r>
      <w:r>
        <w:rPr>
          <w:sz w:val="24"/>
          <w:szCs w:val="24"/>
          <w:u w:val="none"/>
        </w:rPr>
        <w:t>紧急情况下，2</w:t>
      </w:r>
      <w:r>
        <w:rPr>
          <w:spacing w:val="-12"/>
          <w:sz w:val="24"/>
          <w:szCs w:val="24"/>
          <w:u w:val="none"/>
        </w:rPr>
        <w:t>小时</w:t>
      </w:r>
      <w:r>
        <w:rPr>
          <w:rFonts w:hint="eastAsia"/>
          <w:spacing w:val="-12"/>
          <w:sz w:val="24"/>
          <w:szCs w:val="24"/>
          <w:u w:val="none"/>
          <w:lang w:val="en-US" w:eastAsia="zh-CN"/>
        </w:rPr>
        <w:t>内</w:t>
      </w:r>
      <w:r>
        <w:rPr>
          <w:spacing w:val="-12"/>
          <w:sz w:val="24"/>
          <w:szCs w:val="24"/>
          <w:u w:val="none"/>
        </w:rPr>
        <w:t>到达现场进行维护处理。</w:t>
      </w:r>
    </w:p>
    <w:p w14:paraId="3367A9E4">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32" w:firstLineChars="200"/>
        <w:jc w:val="left"/>
        <w:textAlignment w:val="auto"/>
        <w:rPr>
          <w:rFonts w:hint="default" w:eastAsia="宋体"/>
          <w:spacing w:val="-12"/>
          <w:sz w:val="24"/>
          <w:szCs w:val="24"/>
          <w:u w:val="none"/>
          <w:lang w:val="en-US" w:eastAsia="zh-CN"/>
        </w:rPr>
      </w:pPr>
      <w:r>
        <w:rPr>
          <w:rFonts w:hint="eastAsia"/>
          <w:spacing w:val="-12"/>
          <w:sz w:val="24"/>
          <w:szCs w:val="24"/>
          <w:u w:val="none"/>
          <w:lang w:val="en-US" w:eastAsia="zh-CN"/>
        </w:rPr>
        <w:t>11.院方将和</w:t>
      </w:r>
      <w:r>
        <w:rPr>
          <w:rFonts w:hint="eastAsia"/>
          <w:b w:val="0"/>
          <w:bCs w:val="0"/>
          <w:sz w:val="24"/>
          <w:szCs w:val="24"/>
          <w:lang w:val="en-US" w:eastAsia="zh-CN"/>
        </w:rPr>
        <w:t>服务单位</w:t>
      </w:r>
      <w:r>
        <w:rPr>
          <w:rFonts w:hint="eastAsia"/>
          <w:spacing w:val="-12"/>
          <w:sz w:val="24"/>
          <w:szCs w:val="24"/>
          <w:u w:val="none"/>
          <w:lang w:val="en-US" w:eastAsia="zh-CN"/>
        </w:rPr>
        <w:t>签订服务协议，按照协议对</w:t>
      </w:r>
      <w:r>
        <w:rPr>
          <w:rFonts w:hint="eastAsia"/>
          <w:b w:val="0"/>
          <w:bCs w:val="0"/>
          <w:sz w:val="24"/>
          <w:szCs w:val="24"/>
          <w:lang w:val="en-US" w:eastAsia="zh-CN"/>
        </w:rPr>
        <w:t>服务单位</w:t>
      </w:r>
      <w:r>
        <w:rPr>
          <w:rFonts w:hint="eastAsia"/>
          <w:spacing w:val="-12"/>
          <w:sz w:val="24"/>
          <w:szCs w:val="24"/>
          <w:u w:val="none"/>
          <w:lang w:val="en-US" w:eastAsia="zh-CN"/>
        </w:rPr>
        <w:t>履约情况进行考核，对不符合要求开展维护保养的中标人有权单方面终止服务协议，相关责任损失由</w:t>
      </w:r>
      <w:r>
        <w:rPr>
          <w:rFonts w:hint="eastAsia"/>
          <w:b w:val="0"/>
          <w:bCs w:val="0"/>
          <w:sz w:val="24"/>
          <w:szCs w:val="24"/>
          <w:lang w:val="en-US" w:eastAsia="zh-CN"/>
        </w:rPr>
        <w:t>服务单位</w:t>
      </w:r>
      <w:r>
        <w:rPr>
          <w:rFonts w:hint="eastAsia"/>
          <w:spacing w:val="-12"/>
          <w:sz w:val="24"/>
          <w:szCs w:val="24"/>
          <w:u w:val="none"/>
          <w:lang w:val="en-US" w:eastAsia="zh-CN"/>
        </w:rPr>
        <w:t>承担。</w:t>
      </w:r>
    </w:p>
    <w:p w14:paraId="363D5F17">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sz w:val="24"/>
          <w:szCs w:val="24"/>
        </w:rPr>
      </w:pPr>
      <w:r>
        <w:rPr>
          <w:rFonts w:hint="eastAsia"/>
          <w:sz w:val="24"/>
          <w:szCs w:val="24"/>
          <w:lang w:val="en-US" w:eastAsia="zh-CN"/>
        </w:rPr>
        <w:t>（二）具体</w:t>
      </w:r>
      <w:r>
        <w:rPr>
          <w:sz w:val="24"/>
          <w:szCs w:val="24"/>
        </w:rPr>
        <w:t>维护保养质量保证措施</w:t>
      </w:r>
    </w:p>
    <w:p w14:paraId="1E766DB7">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sz w:val="24"/>
          <w:szCs w:val="24"/>
        </w:rPr>
      </w:pPr>
      <w:r>
        <w:rPr>
          <w:sz w:val="24"/>
          <w:szCs w:val="24"/>
        </w:rPr>
        <w:t>1</w:t>
      </w:r>
      <w:r>
        <w:rPr>
          <w:rFonts w:hint="eastAsia"/>
          <w:sz w:val="24"/>
          <w:szCs w:val="24"/>
          <w:lang w:eastAsia="zh-CN"/>
        </w:rPr>
        <w:t>.</w:t>
      </w:r>
      <w:r>
        <w:rPr>
          <w:sz w:val="24"/>
          <w:szCs w:val="24"/>
        </w:rPr>
        <w:t>维护保养工作计划</w:t>
      </w:r>
    </w:p>
    <w:p w14:paraId="7D3AF324">
      <w:pPr>
        <w:pStyle w:val="3"/>
        <w:keepNext w:val="0"/>
        <w:keepLines w:val="0"/>
        <w:pageBreakBefore w:val="0"/>
        <w:widowControl w:val="0"/>
        <w:tabs>
          <w:tab w:val="left" w:pos="220"/>
        </w:tabs>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sz w:val="24"/>
          <w:szCs w:val="24"/>
        </w:rPr>
      </w:pPr>
      <w:r>
        <w:rPr>
          <w:rFonts w:hint="eastAsia"/>
          <w:b w:val="0"/>
          <w:bCs w:val="0"/>
          <w:sz w:val="24"/>
          <w:szCs w:val="24"/>
          <w:lang w:val="en-US" w:eastAsia="zh-CN"/>
        </w:rPr>
        <w:t>服务单位</w:t>
      </w:r>
      <w:r>
        <w:rPr>
          <w:sz w:val="24"/>
          <w:szCs w:val="24"/>
        </w:rPr>
        <w:t>应根据项目实际情况，编制维护工作计划，落实维护保养工作。工作计划经</w:t>
      </w:r>
      <w:r>
        <w:rPr>
          <w:rFonts w:hint="eastAsia"/>
          <w:sz w:val="24"/>
          <w:szCs w:val="24"/>
          <w:lang w:eastAsia="zh-CN"/>
        </w:rPr>
        <w:t>院方</w:t>
      </w:r>
      <w:r>
        <w:rPr>
          <w:sz w:val="24"/>
          <w:szCs w:val="24"/>
        </w:rPr>
        <w:t>审核批准后应严格执行。并作为年度考核的主要依据。</w:t>
      </w:r>
    </w:p>
    <w:p w14:paraId="6AF6C29A">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2.维护保养前检查</w:t>
      </w:r>
    </w:p>
    <w:p w14:paraId="7E44BA10">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rFonts w:hint="default"/>
          <w:sz w:val="24"/>
          <w:szCs w:val="24"/>
          <w:lang w:val="en-US" w:eastAsia="zh-CN"/>
        </w:rPr>
      </w:pPr>
      <w:r>
        <w:rPr>
          <w:rFonts w:hint="eastAsia"/>
          <w:b w:val="0"/>
          <w:bCs w:val="0"/>
          <w:sz w:val="24"/>
          <w:szCs w:val="24"/>
          <w:lang w:val="en-US" w:eastAsia="zh-CN"/>
        </w:rPr>
        <w:t>服务单位</w:t>
      </w:r>
      <w:r>
        <w:rPr>
          <w:rFonts w:hint="eastAsia"/>
          <w:sz w:val="24"/>
          <w:szCs w:val="24"/>
          <w:lang w:val="en-US" w:eastAsia="zh-CN"/>
        </w:rPr>
        <w:t>开展维护保养工</w:t>
      </w:r>
      <w:r>
        <w:rPr>
          <w:sz w:val="24"/>
          <w:szCs w:val="24"/>
        </w:rPr>
        <w:t>作前，应对项目</w:t>
      </w:r>
      <w:r>
        <w:rPr>
          <w:rFonts w:hint="eastAsia"/>
          <w:sz w:val="24"/>
          <w:szCs w:val="24"/>
          <w:lang w:val="en-US" w:eastAsia="zh-CN"/>
        </w:rPr>
        <w:t>7个工作日内</w:t>
      </w:r>
      <w:r>
        <w:rPr>
          <w:sz w:val="24"/>
          <w:szCs w:val="24"/>
        </w:rPr>
        <w:t>进行一次全面检查</w:t>
      </w:r>
      <w:r>
        <w:rPr>
          <w:rFonts w:hint="eastAsia"/>
          <w:sz w:val="24"/>
          <w:szCs w:val="24"/>
          <w:lang w:eastAsia="zh-CN"/>
        </w:rPr>
        <w:t>，</w:t>
      </w:r>
      <w:r>
        <w:rPr>
          <w:rFonts w:hint="eastAsia"/>
          <w:sz w:val="24"/>
          <w:szCs w:val="24"/>
          <w:lang w:val="en-US" w:eastAsia="zh-CN"/>
        </w:rPr>
        <w:t>并提供交底报告</w:t>
      </w:r>
      <w:r>
        <w:rPr>
          <w:sz w:val="24"/>
          <w:szCs w:val="24"/>
        </w:rPr>
        <w:t>。</w:t>
      </w:r>
      <w:r>
        <w:rPr>
          <w:rFonts w:hint="eastAsia"/>
          <w:sz w:val="24"/>
          <w:szCs w:val="24"/>
          <w:lang w:val="en-US" w:eastAsia="zh-CN"/>
        </w:rPr>
        <w:t>对维保检查中发现的问题报告给院方，并积极组织维护修缮等整改工作。</w:t>
      </w:r>
    </w:p>
    <w:p w14:paraId="5CD967EC">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0" w:firstLineChars="200"/>
        <w:textAlignment w:val="auto"/>
        <w:rPr>
          <w:sz w:val="24"/>
          <w:szCs w:val="24"/>
        </w:rPr>
      </w:pPr>
      <w:r>
        <w:rPr>
          <w:sz w:val="24"/>
          <w:szCs w:val="24"/>
        </w:rPr>
        <w:t>3</w:t>
      </w:r>
      <w:r>
        <w:rPr>
          <w:rFonts w:hint="eastAsia"/>
          <w:sz w:val="24"/>
          <w:szCs w:val="24"/>
          <w:lang w:eastAsia="zh-CN"/>
        </w:rPr>
        <w:t>.</w:t>
      </w:r>
      <w:r>
        <w:rPr>
          <w:sz w:val="24"/>
          <w:szCs w:val="24"/>
        </w:rPr>
        <w:t>维护保养工作实施</w:t>
      </w:r>
    </w:p>
    <w:p w14:paraId="43CDA859">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sz w:val="24"/>
          <w:szCs w:val="24"/>
        </w:rPr>
      </w:pPr>
      <w:r>
        <w:rPr>
          <w:rFonts w:hint="eastAsia"/>
          <w:spacing w:val="-3"/>
          <w:sz w:val="24"/>
          <w:szCs w:val="24"/>
          <w:lang w:val="en-US" w:eastAsia="zh-CN"/>
        </w:rPr>
        <w:t>(1)</w:t>
      </w:r>
      <w:r>
        <w:rPr>
          <w:rFonts w:hint="eastAsia"/>
          <w:spacing w:val="-3"/>
          <w:sz w:val="24"/>
          <w:szCs w:val="24"/>
          <w:lang w:eastAsia="zh-CN"/>
        </w:rPr>
        <w:t>按计划</w:t>
      </w:r>
      <w:r>
        <w:rPr>
          <w:sz w:val="24"/>
          <w:szCs w:val="24"/>
        </w:rPr>
        <w:t>开展维护保养工作：</w:t>
      </w:r>
    </w:p>
    <w:p w14:paraId="6DFD28E3">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sz w:val="24"/>
          <w:szCs w:val="24"/>
        </w:rPr>
      </w:pPr>
      <w:r>
        <w:rPr>
          <w:rFonts w:hint="eastAsia"/>
          <w:spacing w:val="-3"/>
          <w:sz w:val="24"/>
          <w:szCs w:val="24"/>
          <w:lang w:val="en-US" w:eastAsia="zh-CN"/>
        </w:rPr>
        <w:t>(2)</w:t>
      </w:r>
      <w:r>
        <w:rPr>
          <w:rFonts w:hint="eastAsia"/>
          <w:b w:val="0"/>
          <w:bCs w:val="0"/>
          <w:sz w:val="24"/>
          <w:szCs w:val="24"/>
          <w:lang w:val="en-US" w:eastAsia="zh-CN"/>
        </w:rPr>
        <w:t>服务单位</w:t>
      </w:r>
      <w:r>
        <w:rPr>
          <w:spacing w:val="-3"/>
          <w:sz w:val="24"/>
          <w:szCs w:val="24"/>
        </w:rPr>
        <w:t>在日常巡查和维护保养过程中发现设施设备故障</w:t>
      </w:r>
      <w:r>
        <w:rPr>
          <w:rFonts w:hint="eastAsia"/>
          <w:spacing w:val="-3"/>
          <w:sz w:val="24"/>
          <w:szCs w:val="24"/>
          <w:lang w:val="en-US" w:eastAsia="zh-CN"/>
        </w:rPr>
        <w:t>应第一时间进行处置</w:t>
      </w:r>
      <w:r>
        <w:rPr>
          <w:spacing w:val="-3"/>
          <w:sz w:val="24"/>
          <w:szCs w:val="24"/>
        </w:rPr>
        <w:t>，不能立即处</w:t>
      </w:r>
      <w:r>
        <w:rPr>
          <w:rFonts w:hint="eastAsia"/>
          <w:spacing w:val="-3"/>
          <w:sz w:val="24"/>
          <w:szCs w:val="24"/>
          <w:lang w:val="en-US" w:eastAsia="zh-CN"/>
        </w:rPr>
        <w:t>置</w:t>
      </w:r>
      <w:r>
        <w:rPr>
          <w:spacing w:val="-3"/>
          <w:sz w:val="24"/>
          <w:szCs w:val="24"/>
        </w:rPr>
        <w:t>的，</w:t>
      </w:r>
      <w:r>
        <w:rPr>
          <w:rFonts w:hint="eastAsia"/>
          <w:spacing w:val="-3"/>
          <w:sz w:val="24"/>
          <w:szCs w:val="24"/>
          <w:lang w:val="en-US" w:eastAsia="zh-CN"/>
        </w:rPr>
        <w:t>应制定相关安全保障措施并报告院</w:t>
      </w:r>
      <w:r>
        <w:rPr>
          <w:spacing w:val="-3"/>
          <w:sz w:val="24"/>
          <w:szCs w:val="24"/>
        </w:rPr>
        <w:t>方</w:t>
      </w:r>
      <w:r>
        <w:rPr>
          <w:rFonts w:hint="eastAsia"/>
          <w:spacing w:val="-3"/>
          <w:sz w:val="24"/>
          <w:szCs w:val="24"/>
          <w:lang w:val="en-US" w:eastAsia="zh-CN"/>
        </w:rPr>
        <w:t>，确保院方时刻的消防安全。</w:t>
      </w:r>
    </w:p>
    <w:p w14:paraId="7958D7E5">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sz w:val="24"/>
          <w:szCs w:val="24"/>
        </w:rPr>
      </w:pPr>
      <w:r>
        <w:rPr>
          <w:rFonts w:hint="eastAsia"/>
          <w:spacing w:val="-3"/>
          <w:sz w:val="24"/>
          <w:szCs w:val="24"/>
          <w:lang w:val="en-US" w:eastAsia="zh-CN"/>
        </w:rPr>
        <w:t>(3)</w:t>
      </w:r>
      <w:r>
        <w:rPr>
          <w:sz w:val="24"/>
          <w:szCs w:val="24"/>
        </w:rPr>
        <w:t>本</w:t>
      </w:r>
      <w:r>
        <w:rPr>
          <w:rFonts w:hint="eastAsia"/>
          <w:sz w:val="24"/>
          <w:szCs w:val="24"/>
          <w:lang w:val="en-US" w:eastAsia="zh-CN"/>
        </w:rPr>
        <w:t>项目</w:t>
      </w:r>
      <w:r>
        <w:rPr>
          <w:sz w:val="24"/>
          <w:szCs w:val="24"/>
        </w:rPr>
        <w:t>的维护保养工作内容包括：</w:t>
      </w:r>
    </w:p>
    <w:p w14:paraId="4F8C556F">
      <w:pPr>
        <w:pStyle w:val="10"/>
        <w:keepNext w:val="0"/>
        <w:keepLines w:val="0"/>
        <w:pageBreakBefore w:val="0"/>
        <w:widowControl w:val="0"/>
        <w:numPr>
          <w:ilvl w:val="0"/>
          <w:numId w:val="0"/>
        </w:numPr>
        <w:tabs>
          <w:tab w:val="left" w:pos="156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left"/>
        <w:textAlignment w:val="auto"/>
        <w:rPr>
          <w:sz w:val="24"/>
          <w:szCs w:val="24"/>
        </w:rPr>
      </w:pPr>
      <w:r>
        <w:rPr>
          <w:rFonts w:hint="eastAsia"/>
          <w:sz w:val="24"/>
          <w:szCs w:val="24"/>
          <w:lang w:val="en-US" w:eastAsia="zh-CN"/>
        </w:rPr>
        <w:t>1)</w:t>
      </w:r>
      <w:r>
        <w:rPr>
          <w:sz w:val="24"/>
          <w:szCs w:val="24"/>
        </w:rPr>
        <w:t>消防维护保养前</w:t>
      </w:r>
      <w:r>
        <w:rPr>
          <w:rFonts w:hint="eastAsia"/>
          <w:sz w:val="24"/>
          <w:szCs w:val="24"/>
          <w:lang w:eastAsia="zh-CN"/>
        </w:rPr>
        <w:t>，</w:t>
      </w:r>
      <w:r>
        <w:rPr>
          <w:rFonts w:hint="eastAsia"/>
          <w:sz w:val="24"/>
          <w:szCs w:val="24"/>
          <w:lang w:val="en-US" w:eastAsia="zh-CN"/>
        </w:rPr>
        <w:t>开展1次智慧消防物联网安全监管</w:t>
      </w:r>
      <w:r>
        <w:rPr>
          <w:sz w:val="24"/>
          <w:szCs w:val="24"/>
        </w:rPr>
        <w:t>系统全面排查</w:t>
      </w:r>
      <w:r>
        <w:rPr>
          <w:rFonts w:hint="eastAsia"/>
          <w:sz w:val="24"/>
          <w:szCs w:val="24"/>
          <w:lang w:eastAsia="zh-CN"/>
        </w:rPr>
        <w:t>，</w:t>
      </w:r>
      <w:r>
        <w:rPr>
          <w:rFonts w:hint="eastAsia"/>
          <w:sz w:val="24"/>
          <w:szCs w:val="24"/>
          <w:lang w:val="en-US" w:eastAsia="zh-CN"/>
        </w:rPr>
        <w:t>并出具系统排查报告，对存在的问题立即实施整改</w:t>
      </w:r>
      <w:r>
        <w:rPr>
          <w:spacing w:val="-10"/>
          <w:sz w:val="24"/>
          <w:szCs w:val="24"/>
        </w:rPr>
        <w:t>。</w:t>
      </w:r>
    </w:p>
    <w:p w14:paraId="0954647F">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left"/>
        <w:textAlignment w:val="auto"/>
        <w:rPr>
          <w:sz w:val="24"/>
          <w:szCs w:val="24"/>
        </w:rPr>
      </w:pPr>
      <w:r>
        <w:rPr>
          <w:rFonts w:hint="eastAsia"/>
          <w:sz w:val="24"/>
          <w:szCs w:val="24"/>
          <w:lang w:val="en-US" w:eastAsia="zh-CN"/>
        </w:rPr>
        <w:t>2)</w:t>
      </w:r>
      <w:r>
        <w:rPr>
          <w:rFonts w:hint="eastAsia"/>
          <w:sz w:val="24"/>
          <w:szCs w:val="24"/>
        </w:rPr>
        <w:t>按医院工作安排对</w:t>
      </w:r>
      <w:r>
        <w:rPr>
          <w:rFonts w:hint="eastAsia"/>
          <w:sz w:val="24"/>
          <w:szCs w:val="24"/>
          <w:lang w:eastAsia="zh-CN"/>
        </w:rPr>
        <w:t>院方</w:t>
      </w:r>
      <w:r>
        <w:rPr>
          <w:rFonts w:hint="eastAsia"/>
          <w:sz w:val="24"/>
          <w:szCs w:val="24"/>
        </w:rPr>
        <w:t>消防值班人员、消防设施操作人员、医院员工进行消防技能培训</w:t>
      </w:r>
      <w:r>
        <w:rPr>
          <w:rFonts w:hint="eastAsia"/>
          <w:sz w:val="24"/>
          <w:szCs w:val="24"/>
          <w:lang w:eastAsia="zh-CN"/>
        </w:rPr>
        <w:t>，</w:t>
      </w:r>
      <w:r>
        <w:rPr>
          <w:rFonts w:hint="eastAsia"/>
          <w:sz w:val="24"/>
          <w:szCs w:val="24"/>
          <w:lang w:val="en-US" w:eastAsia="zh-CN"/>
        </w:rPr>
        <w:t>并建立人员培训档案</w:t>
      </w:r>
      <w:r>
        <w:rPr>
          <w:sz w:val="24"/>
          <w:szCs w:val="24"/>
        </w:rPr>
        <w:t>。</w:t>
      </w:r>
    </w:p>
    <w:p w14:paraId="6F4B8A19">
      <w:pPr>
        <w:pStyle w:val="10"/>
        <w:keepNext w:val="0"/>
        <w:keepLines w:val="0"/>
        <w:pageBreakBefore w:val="0"/>
        <w:widowControl w:val="0"/>
        <w:numPr>
          <w:ilvl w:val="0"/>
          <w:numId w:val="0"/>
        </w:numPr>
        <w:tabs>
          <w:tab w:val="left" w:pos="156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both"/>
        <w:textAlignment w:val="auto"/>
        <w:rPr>
          <w:rFonts w:hint="default" w:eastAsia="宋体"/>
          <w:spacing w:val="-10"/>
          <w:sz w:val="24"/>
          <w:szCs w:val="24"/>
          <w:lang w:val="en-US" w:eastAsia="zh-CN"/>
        </w:rPr>
      </w:pPr>
      <w:r>
        <w:rPr>
          <w:rFonts w:hint="eastAsia"/>
          <w:sz w:val="24"/>
          <w:szCs w:val="24"/>
          <w:lang w:val="en-US" w:eastAsia="zh-CN"/>
        </w:rPr>
        <w:t>3)根据医院工作安排，派遣人员参与医院智慧消防安全实战演练。制定演练方案，做好演练准备，根据演练需要，提供指导专家、参演专业队伍、所需器材、宣传队伍及报告总结，完成演练存在问题整改。</w:t>
      </w:r>
    </w:p>
    <w:p w14:paraId="46246953">
      <w:pPr>
        <w:pStyle w:val="10"/>
        <w:keepNext w:val="0"/>
        <w:keepLines w:val="0"/>
        <w:pageBreakBefore w:val="0"/>
        <w:widowControl w:val="0"/>
        <w:numPr>
          <w:ilvl w:val="0"/>
          <w:numId w:val="0"/>
        </w:numPr>
        <w:tabs>
          <w:tab w:val="left" w:pos="1565"/>
          <w:tab w:val="left" w:pos="880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both"/>
        <w:textAlignment w:val="auto"/>
        <w:rPr>
          <w:sz w:val="24"/>
          <w:szCs w:val="24"/>
        </w:rPr>
      </w:pPr>
      <w:r>
        <w:rPr>
          <w:rFonts w:hint="eastAsia"/>
          <w:sz w:val="24"/>
          <w:szCs w:val="24"/>
          <w:lang w:val="en-US" w:eastAsia="zh-CN"/>
        </w:rPr>
        <w:t>5)</w:t>
      </w:r>
      <w:r>
        <w:rPr>
          <w:sz w:val="24"/>
          <w:szCs w:val="24"/>
        </w:rPr>
        <w:t>按照维护保养工作计划，定期进行维护保养工作，严格按照《建筑消防设施的维护管理》（GB25201）</w:t>
      </w:r>
      <w:r>
        <w:rPr>
          <w:spacing w:val="-3"/>
          <w:sz w:val="24"/>
          <w:szCs w:val="24"/>
        </w:rPr>
        <w:t>、《建筑消防设施的维护技术规范》</w:t>
      </w:r>
      <w:r>
        <w:rPr>
          <w:sz w:val="24"/>
          <w:szCs w:val="24"/>
        </w:rPr>
        <w:t>（DB52/T1152-2016）</w:t>
      </w:r>
      <w:r>
        <w:rPr>
          <w:rFonts w:hint="eastAsia"/>
          <w:sz w:val="24"/>
          <w:szCs w:val="24"/>
        </w:rPr>
        <w:t>《民用建筑电气防火设计标准》（DG/TJ 08-2048-2024）</w:t>
      </w:r>
      <w:r>
        <w:rPr>
          <w:spacing w:val="-3"/>
          <w:sz w:val="24"/>
          <w:szCs w:val="24"/>
        </w:rPr>
        <w:t>等</w:t>
      </w:r>
      <w:r>
        <w:rPr>
          <w:rFonts w:hint="eastAsia"/>
          <w:spacing w:val="-3"/>
          <w:sz w:val="24"/>
          <w:szCs w:val="24"/>
          <w:lang w:val="en-US" w:eastAsia="zh-CN"/>
        </w:rPr>
        <w:t>相关专业</w:t>
      </w:r>
      <w:r>
        <w:rPr>
          <w:spacing w:val="-3"/>
          <w:sz w:val="24"/>
          <w:szCs w:val="24"/>
        </w:rPr>
        <w:t>规范、发现问题能当场</w:t>
      </w:r>
      <w:r>
        <w:rPr>
          <w:rFonts w:hint="eastAsia"/>
          <w:spacing w:val="-3"/>
          <w:sz w:val="24"/>
          <w:szCs w:val="24"/>
          <w:lang w:val="en-US" w:eastAsia="zh-CN"/>
        </w:rPr>
        <w:t>处置</w:t>
      </w:r>
      <w:r>
        <w:rPr>
          <w:spacing w:val="-3"/>
          <w:sz w:val="24"/>
          <w:szCs w:val="24"/>
        </w:rPr>
        <w:t>的立即</w:t>
      </w:r>
      <w:r>
        <w:rPr>
          <w:rFonts w:hint="eastAsia"/>
          <w:spacing w:val="-3"/>
          <w:sz w:val="24"/>
          <w:szCs w:val="24"/>
          <w:lang w:val="en-US" w:eastAsia="zh-CN"/>
        </w:rPr>
        <w:t>处置</w:t>
      </w:r>
      <w:r>
        <w:rPr>
          <w:rFonts w:hint="eastAsia"/>
          <w:spacing w:val="-3"/>
          <w:sz w:val="24"/>
          <w:szCs w:val="24"/>
          <w:lang w:eastAsia="zh-CN"/>
        </w:rPr>
        <w:t>，</w:t>
      </w:r>
      <w:r>
        <w:rPr>
          <w:rFonts w:hint="eastAsia"/>
          <w:spacing w:val="-3"/>
          <w:sz w:val="24"/>
          <w:szCs w:val="24"/>
          <w:lang w:val="en-US" w:eastAsia="zh-CN"/>
        </w:rPr>
        <w:t>不能立即处置的应及时向院方报告</w:t>
      </w:r>
      <w:r>
        <w:rPr>
          <w:spacing w:val="-3"/>
          <w:sz w:val="24"/>
          <w:szCs w:val="24"/>
        </w:rPr>
        <w:t>。</w:t>
      </w:r>
    </w:p>
    <w:p w14:paraId="31497D6C">
      <w:pPr>
        <w:pStyle w:val="3"/>
        <w:keepNext w:val="0"/>
        <w:keepLines w:val="0"/>
        <w:pageBreakBefore w:val="0"/>
        <w:widowControl w:val="0"/>
        <w:tabs>
          <w:tab w:val="left" w:pos="9680"/>
        </w:tabs>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auto"/>
        <w:rPr>
          <w:rFonts w:hint="eastAsia" w:ascii="新宋体" w:hAnsi="新宋体" w:eastAsia="新宋体"/>
          <w:sz w:val="24"/>
          <w:szCs w:val="24"/>
        </w:rPr>
      </w:pPr>
      <w:r>
        <w:rPr>
          <w:rFonts w:hint="eastAsia" w:ascii="新宋体" w:hAnsi="新宋体" w:eastAsia="新宋体"/>
          <w:sz w:val="24"/>
          <w:szCs w:val="24"/>
        </w:rPr>
        <w:t>①</w:t>
      </w:r>
      <w:r>
        <w:rPr>
          <w:rFonts w:hint="eastAsia" w:ascii="新宋体" w:hAnsi="新宋体" w:eastAsia="新宋体"/>
          <w:sz w:val="24"/>
          <w:szCs w:val="24"/>
          <w:lang w:val="en-US" w:eastAsia="zh-CN"/>
        </w:rPr>
        <w:t>项目服务期限内，</w:t>
      </w:r>
      <w:r>
        <w:rPr>
          <w:rFonts w:hint="eastAsia" w:ascii="新宋体" w:hAnsi="新宋体" w:eastAsia="新宋体"/>
          <w:sz w:val="24"/>
          <w:szCs w:val="24"/>
        </w:rPr>
        <w:t>每月</w:t>
      </w:r>
      <w:r>
        <w:rPr>
          <w:rFonts w:hint="eastAsia" w:ascii="新宋体" w:hAnsi="新宋体" w:eastAsia="新宋体"/>
          <w:sz w:val="24"/>
          <w:szCs w:val="24"/>
          <w:lang w:val="en-US" w:eastAsia="zh-CN"/>
        </w:rPr>
        <w:t>定期</w:t>
      </w:r>
      <w:r>
        <w:rPr>
          <w:rFonts w:hint="eastAsia" w:ascii="新宋体" w:hAnsi="新宋体" w:eastAsia="新宋体"/>
          <w:sz w:val="24"/>
          <w:szCs w:val="24"/>
        </w:rPr>
        <w:t>进行一次月检，并填写《智慧消防物联网安全监管系统月检维护记录表》，</w:t>
      </w:r>
      <w:r>
        <w:rPr>
          <w:rFonts w:hint="eastAsia" w:ascii="新宋体" w:hAnsi="新宋体" w:eastAsia="新宋体"/>
          <w:sz w:val="24"/>
          <w:szCs w:val="24"/>
          <w:lang w:eastAsia="zh-CN"/>
        </w:rPr>
        <w:t>院方</w:t>
      </w:r>
      <w:r>
        <w:rPr>
          <w:rFonts w:hint="eastAsia" w:ascii="新宋体" w:hAnsi="新宋体" w:eastAsia="新宋体"/>
          <w:sz w:val="24"/>
          <w:szCs w:val="24"/>
        </w:rPr>
        <w:t>代表及</w:t>
      </w:r>
      <w:r>
        <w:rPr>
          <w:rFonts w:hint="eastAsia"/>
          <w:b w:val="0"/>
          <w:bCs w:val="0"/>
          <w:sz w:val="24"/>
          <w:szCs w:val="24"/>
          <w:lang w:val="en-US" w:eastAsia="zh-CN"/>
        </w:rPr>
        <w:t>服务单位</w:t>
      </w:r>
      <w:r>
        <w:rPr>
          <w:rFonts w:hint="eastAsia" w:ascii="新宋体" w:hAnsi="新宋体" w:eastAsia="新宋体"/>
          <w:sz w:val="24"/>
          <w:szCs w:val="24"/>
        </w:rPr>
        <w:t>项目负责人签字后各执一份建档管理。</w:t>
      </w:r>
    </w:p>
    <w:p w14:paraId="677ADAF4">
      <w:pPr>
        <w:pStyle w:val="3"/>
        <w:keepNext w:val="0"/>
        <w:keepLines w:val="0"/>
        <w:pageBreakBefore w:val="0"/>
        <w:widowControl w:val="0"/>
        <w:tabs>
          <w:tab w:val="left" w:pos="9680"/>
        </w:tabs>
        <w:kinsoku/>
        <w:wordWrap/>
        <w:overflowPunct/>
        <w:topLinePunct w:val="0"/>
        <w:autoSpaceDE w:val="0"/>
        <w:autoSpaceDN w:val="0"/>
        <w:bidi w:val="0"/>
        <w:adjustRightInd w:val="0"/>
        <w:snapToGrid w:val="0"/>
        <w:spacing w:before="0" w:line="360" w:lineRule="auto"/>
        <w:ind w:left="0" w:leftChars="0" w:right="0" w:rightChars="0" w:firstLine="480" w:firstLineChars="200"/>
        <w:jc w:val="both"/>
        <w:textAlignment w:val="auto"/>
        <w:rPr>
          <w:rFonts w:hint="eastAsia" w:ascii="新宋体" w:hAnsi="新宋体" w:eastAsia="新宋体"/>
          <w:sz w:val="24"/>
          <w:szCs w:val="24"/>
        </w:rPr>
      </w:pPr>
      <w:r>
        <w:rPr>
          <w:rFonts w:hint="eastAsia" w:ascii="新宋体" w:hAnsi="新宋体" w:eastAsia="新宋体"/>
          <w:sz w:val="24"/>
          <w:szCs w:val="24"/>
        </w:rPr>
        <w:t>②每年的第3、6、9</w:t>
      </w:r>
      <w:r>
        <w:rPr>
          <w:rFonts w:hint="eastAsia" w:ascii="新宋体" w:hAnsi="新宋体" w:eastAsia="新宋体"/>
          <w:sz w:val="24"/>
          <w:szCs w:val="24"/>
          <w:lang w:eastAsia="zh-CN"/>
        </w:rPr>
        <w:t>、</w:t>
      </w:r>
      <w:r>
        <w:rPr>
          <w:rFonts w:hint="eastAsia" w:ascii="新宋体" w:hAnsi="新宋体" w:eastAsia="新宋体"/>
          <w:sz w:val="24"/>
          <w:szCs w:val="24"/>
          <w:lang w:val="en-US" w:eastAsia="zh-CN"/>
        </w:rPr>
        <w:t>12</w:t>
      </w:r>
      <w:r>
        <w:rPr>
          <w:rFonts w:hint="eastAsia" w:ascii="新宋体" w:hAnsi="新宋体" w:eastAsia="新宋体"/>
          <w:sz w:val="24"/>
          <w:szCs w:val="24"/>
        </w:rPr>
        <w:t>月份进行一次季度检查，并填写《智慧消防物联网安全监管系统季检维护记录表》，</w:t>
      </w:r>
      <w:r>
        <w:rPr>
          <w:rFonts w:hint="eastAsia" w:ascii="新宋体" w:hAnsi="新宋体" w:eastAsia="新宋体"/>
          <w:sz w:val="24"/>
          <w:szCs w:val="24"/>
          <w:lang w:eastAsia="zh-CN"/>
        </w:rPr>
        <w:t>院方</w:t>
      </w:r>
      <w:r>
        <w:rPr>
          <w:rFonts w:hint="eastAsia" w:ascii="新宋体" w:hAnsi="新宋体" w:eastAsia="新宋体"/>
          <w:sz w:val="24"/>
          <w:szCs w:val="24"/>
        </w:rPr>
        <w:t>代表及</w:t>
      </w:r>
      <w:r>
        <w:rPr>
          <w:rFonts w:hint="eastAsia"/>
          <w:b w:val="0"/>
          <w:bCs w:val="0"/>
          <w:sz w:val="24"/>
          <w:szCs w:val="24"/>
          <w:lang w:val="en-US" w:eastAsia="zh-CN"/>
        </w:rPr>
        <w:t>服务单位</w:t>
      </w:r>
      <w:r>
        <w:rPr>
          <w:rFonts w:hint="eastAsia" w:ascii="新宋体" w:hAnsi="新宋体" w:eastAsia="新宋体"/>
          <w:sz w:val="24"/>
          <w:szCs w:val="24"/>
        </w:rPr>
        <w:t>项目负责人签字后各执一份建档管理。</w:t>
      </w:r>
    </w:p>
    <w:p w14:paraId="0EFB7374">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both"/>
        <w:textAlignment w:val="auto"/>
        <w:rPr>
          <w:sz w:val="24"/>
          <w:szCs w:val="24"/>
        </w:rPr>
      </w:pPr>
      <w:r>
        <w:rPr>
          <w:rFonts w:hint="eastAsia" w:ascii="新宋体" w:hAnsi="新宋体" w:eastAsia="新宋体"/>
          <w:sz w:val="24"/>
          <w:szCs w:val="24"/>
        </w:rPr>
        <w:t>③每年</w:t>
      </w:r>
      <w:r>
        <w:rPr>
          <w:sz w:val="24"/>
          <w:szCs w:val="24"/>
        </w:rPr>
        <w:t>12月份进行一次年度检查，并填写《</w:t>
      </w:r>
      <w:r>
        <w:rPr>
          <w:rFonts w:hint="eastAsia"/>
          <w:sz w:val="24"/>
          <w:szCs w:val="24"/>
        </w:rPr>
        <w:t>智慧消防物联网安全监管系统</w:t>
      </w:r>
      <w:r>
        <w:rPr>
          <w:spacing w:val="-1"/>
          <w:sz w:val="24"/>
          <w:szCs w:val="24"/>
        </w:rPr>
        <w:t>年检维护记录表》，</w:t>
      </w:r>
      <w:r>
        <w:rPr>
          <w:rFonts w:hint="eastAsia"/>
          <w:spacing w:val="-1"/>
          <w:sz w:val="24"/>
          <w:szCs w:val="24"/>
          <w:lang w:eastAsia="zh-CN"/>
        </w:rPr>
        <w:t>院方</w:t>
      </w:r>
      <w:r>
        <w:rPr>
          <w:spacing w:val="-1"/>
          <w:sz w:val="24"/>
          <w:szCs w:val="24"/>
        </w:rPr>
        <w:t>代表及</w:t>
      </w:r>
      <w:r>
        <w:rPr>
          <w:rFonts w:hint="eastAsia"/>
          <w:b w:val="0"/>
          <w:bCs w:val="0"/>
          <w:sz w:val="24"/>
          <w:szCs w:val="24"/>
          <w:lang w:val="en-US" w:eastAsia="zh-CN"/>
        </w:rPr>
        <w:t>服务单位</w:t>
      </w:r>
      <w:r>
        <w:rPr>
          <w:spacing w:val="-1"/>
          <w:sz w:val="24"/>
          <w:szCs w:val="24"/>
        </w:rPr>
        <w:t>项目</w:t>
      </w:r>
      <w:r>
        <w:rPr>
          <w:sz w:val="24"/>
          <w:szCs w:val="24"/>
        </w:rPr>
        <w:t>负责人签字后各执一份建档管理。</w:t>
      </w:r>
    </w:p>
    <w:p w14:paraId="466EC897">
      <w:pPr>
        <w:pStyle w:val="10"/>
        <w:keepNext w:val="0"/>
        <w:keepLines w:val="0"/>
        <w:pageBreakBefore w:val="0"/>
        <w:widowControl w:val="0"/>
        <w:numPr>
          <w:ilvl w:val="0"/>
          <w:numId w:val="0"/>
        </w:numPr>
        <w:tabs>
          <w:tab w:val="left" w:pos="1320"/>
        </w:tabs>
        <w:kinsoku/>
        <w:wordWrap/>
        <w:overflowPunct/>
        <w:topLinePunct w:val="0"/>
        <w:autoSpaceDE w:val="0"/>
        <w:autoSpaceDN w:val="0"/>
        <w:bidi w:val="0"/>
        <w:adjustRightInd w:val="0"/>
        <w:snapToGrid w:val="0"/>
        <w:spacing w:before="0" w:after="0" w:line="360" w:lineRule="auto"/>
        <w:ind w:left="0" w:leftChars="0" w:right="0" w:rightChars="0" w:firstLine="480" w:firstLineChars="200"/>
        <w:jc w:val="both"/>
        <w:textAlignment w:val="auto"/>
        <w:rPr>
          <w:sz w:val="24"/>
          <w:szCs w:val="24"/>
        </w:rPr>
      </w:pPr>
      <w:r>
        <w:rPr>
          <w:sz w:val="24"/>
          <w:szCs w:val="24"/>
        </w:rPr>
        <w:t>4</w:t>
      </w:r>
      <w:r>
        <w:rPr>
          <w:rFonts w:hint="eastAsia"/>
          <w:sz w:val="24"/>
          <w:szCs w:val="24"/>
          <w:lang w:eastAsia="zh-CN"/>
        </w:rPr>
        <w:t>.</w:t>
      </w:r>
      <w:r>
        <w:rPr>
          <w:sz w:val="24"/>
          <w:szCs w:val="24"/>
        </w:rPr>
        <w:t>消防安全隐患整改</w:t>
      </w:r>
    </w:p>
    <w:p w14:paraId="3B213B87">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sz w:val="24"/>
          <w:szCs w:val="24"/>
        </w:rPr>
      </w:pPr>
      <w:r>
        <w:rPr>
          <w:rFonts w:hint="eastAsia"/>
          <w:spacing w:val="-3"/>
          <w:sz w:val="24"/>
          <w:szCs w:val="24"/>
          <w:lang w:val="en-US" w:eastAsia="zh-CN"/>
        </w:rPr>
        <w:t>(1)</w:t>
      </w:r>
      <w:r>
        <w:rPr>
          <w:rFonts w:hint="eastAsia"/>
          <w:b w:val="0"/>
          <w:bCs w:val="0"/>
          <w:sz w:val="24"/>
          <w:szCs w:val="24"/>
          <w:lang w:val="en-US" w:eastAsia="zh-CN"/>
        </w:rPr>
        <w:t>服务单位</w:t>
      </w:r>
      <w:r>
        <w:rPr>
          <w:rFonts w:hint="eastAsia"/>
          <w:spacing w:val="-3"/>
          <w:sz w:val="24"/>
          <w:szCs w:val="24"/>
          <w:lang w:val="en-US" w:eastAsia="zh-CN"/>
        </w:rPr>
        <w:t>在项目服务期间，对服务范围内的任何隐患按规范进行整改，及时排除隐患，确</w:t>
      </w:r>
      <w:r>
        <w:rPr>
          <w:spacing w:val="-3"/>
          <w:sz w:val="24"/>
          <w:szCs w:val="24"/>
        </w:rPr>
        <w:t>不能立即</w:t>
      </w:r>
      <w:r>
        <w:rPr>
          <w:rFonts w:hint="eastAsia"/>
          <w:spacing w:val="-3"/>
          <w:sz w:val="24"/>
          <w:szCs w:val="24"/>
          <w:lang w:val="en-US" w:eastAsia="zh-CN"/>
        </w:rPr>
        <w:t>整改</w:t>
      </w:r>
      <w:r>
        <w:rPr>
          <w:spacing w:val="-3"/>
          <w:sz w:val="24"/>
          <w:szCs w:val="24"/>
        </w:rPr>
        <w:t>的，</w:t>
      </w:r>
      <w:r>
        <w:rPr>
          <w:rFonts w:hint="eastAsia"/>
          <w:spacing w:val="-3"/>
          <w:sz w:val="24"/>
          <w:szCs w:val="24"/>
          <w:lang w:val="en-US" w:eastAsia="zh-CN"/>
        </w:rPr>
        <w:t>第一时间报告院</w:t>
      </w:r>
      <w:r>
        <w:rPr>
          <w:spacing w:val="-3"/>
          <w:sz w:val="24"/>
          <w:szCs w:val="24"/>
        </w:rPr>
        <w:t>方</w:t>
      </w:r>
      <w:r>
        <w:rPr>
          <w:rFonts w:hint="eastAsia"/>
          <w:spacing w:val="-3"/>
          <w:sz w:val="24"/>
          <w:szCs w:val="24"/>
          <w:lang w:val="en-US" w:eastAsia="zh-CN"/>
        </w:rPr>
        <w:t>，并制定相关安全保障措施确保院方时刻的消防安全。</w:t>
      </w:r>
    </w:p>
    <w:p w14:paraId="75FC00CA">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sz w:val="24"/>
          <w:szCs w:val="24"/>
        </w:rPr>
      </w:pPr>
      <w:r>
        <w:rPr>
          <w:rFonts w:hint="eastAsia"/>
          <w:spacing w:val="-3"/>
          <w:sz w:val="24"/>
          <w:szCs w:val="24"/>
          <w:lang w:val="en-US" w:eastAsia="zh-CN"/>
        </w:rPr>
        <w:t>(2)</w:t>
      </w:r>
      <w:r>
        <w:rPr>
          <w:spacing w:val="-3"/>
          <w:sz w:val="24"/>
          <w:szCs w:val="24"/>
        </w:rPr>
        <w:t>现场不能立即改正的消防安全隐患，应以书面提出，并应对隐患进行详细描述，提出整改建议，形成的整改方案，报</w:t>
      </w:r>
      <w:r>
        <w:rPr>
          <w:rFonts w:hint="eastAsia"/>
          <w:spacing w:val="-3"/>
          <w:sz w:val="24"/>
          <w:szCs w:val="24"/>
          <w:lang w:eastAsia="zh-CN"/>
        </w:rPr>
        <w:t>院方</w:t>
      </w:r>
      <w:r>
        <w:rPr>
          <w:spacing w:val="-3"/>
          <w:sz w:val="24"/>
          <w:szCs w:val="24"/>
        </w:rPr>
        <w:t>批准后实施。</w:t>
      </w:r>
    </w:p>
    <w:p w14:paraId="013DF5E0">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left="0" w:leftChars="0" w:right="0" w:rightChars="0" w:firstLine="468" w:firstLineChars="200"/>
        <w:jc w:val="left"/>
        <w:textAlignment w:val="auto"/>
        <w:rPr>
          <w:rFonts w:hint="eastAsia"/>
          <w:b w:val="0"/>
          <w:bCs w:val="0"/>
          <w:sz w:val="24"/>
          <w:szCs w:val="24"/>
          <w:lang w:eastAsia="zh-CN"/>
        </w:rPr>
      </w:pPr>
      <w:r>
        <w:rPr>
          <w:rFonts w:hint="eastAsia"/>
          <w:spacing w:val="-3"/>
          <w:sz w:val="24"/>
          <w:szCs w:val="24"/>
          <w:lang w:val="en-US" w:eastAsia="zh-CN"/>
        </w:rPr>
        <w:t>(3)为确保院方消防安全，紧急情况下，</w:t>
      </w:r>
      <w:r>
        <w:rPr>
          <w:rFonts w:hint="eastAsia"/>
          <w:b w:val="0"/>
          <w:bCs w:val="0"/>
          <w:sz w:val="24"/>
          <w:szCs w:val="24"/>
          <w:lang w:val="en-US" w:eastAsia="zh-CN"/>
        </w:rPr>
        <w:t>服务单位</w:t>
      </w:r>
      <w:r>
        <w:rPr>
          <w:spacing w:val="-3"/>
          <w:sz w:val="24"/>
          <w:szCs w:val="24"/>
        </w:rPr>
        <w:t>有义务</w:t>
      </w:r>
      <w:r>
        <w:rPr>
          <w:rFonts w:hint="eastAsia"/>
          <w:spacing w:val="-3"/>
          <w:sz w:val="24"/>
          <w:szCs w:val="24"/>
          <w:lang w:val="en-US" w:eastAsia="zh-CN"/>
        </w:rPr>
        <w:t>第一时间处置</w:t>
      </w:r>
      <w:r>
        <w:rPr>
          <w:spacing w:val="-3"/>
          <w:sz w:val="24"/>
          <w:szCs w:val="24"/>
        </w:rPr>
        <w:t>非</w:t>
      </w:r>
      <w:r>
        <w:rPr>
          <w:rFonts w:hint="eastAsia"/>
          <w:spacing w:val="-3"/>
          <w:sz w:val="24"/>
          <w:szCs w:val="24"/>
          <w:lang w:val="en-US" w:eastAsia="zh-CN"/>
        </w:rPr>
        <w:t>本项目服务内</w:t>
      </w:r>
      <w:r>
        <w:rPr>
          <w:spacing w:val="-3"/>
          <w:sz w:val="24"/>
          <w:szCs w:val="24"/>
        </w:rPr>
        <w:t>的</w:t>
      </w:r>
      <w:r>
        <w:rPr>
          <w:rFonts w:hint="eastAsia"/>
          <w:spacing w:val="-3"/>
          <w:sz w:val="24"/>
          <w:szCs w:val="24"/>
          <w:lang w:val="en-US" w:eastAsia="zh-CN"/>
        </w:rPr>
        <w:t>其他</w:t>
      </w:r>
      <w:r>
        <w:rPr>
          <w:spacing w:val="-3"/>
          <w:sz w:val="24"/>
          <w:szCs w:val="24"/>
        </w:rPr>
        <w:t>消防安全隐患事项</w:t>
      </w:r>
      <w:r>
        <w:rPr>
          <w:rFonts w:hint="eastAsia"/>
          <w:spacing w:val="-3"/>
          <w:sz w:val="24"/>
          <w:szCs w:val="24"/>
          <w:lang w:eastAsia="zh-CN"/>
        </w:rPr>
        <w:t>，</w:t>
      </w:r>
      <w:r>
        <w:rPr>
          <w:rFonts w:hint="eastAsia"/>
          <w:spacing w:val="-3"/>
          <w:sz w:val="24"/>
          <w:szCs w:val="24"/>
          <w:lang w:val="en-US" w:eastAsia="zh-CN"/>
        </w:rPr>
        <w:t>并第一时间报告院</w:t>
      </w:r>
      <w:r>
        <w:rPr>
          <w:spacing w:val="-3"/>
          <w:sz w:val="24"/>
          <w:szCs w:val="24"/>
        </w:rPr>
        <w:t>方</w:t>
      </w:r>
      <w:r>
        <w:rPr>
          <w:rFonts w:hint="eastAsia"/>
          <w:spacing w:val="-3"/>
          <w:sz w:val="24"/>
          <w:szCs w:val="24"/>
          <w:lang w:eastAsia="zh-CN"/>
        </w:rPr>
        <w:t>，</w:t>
      </w:r>
      <w:r>
        <w:rPr>
          <w:rFonts w:hint="eastAsia"/>
          <w:spacing w:val="-3"/>
          <w:sz w:val="24"/>
          <w:szCs w:val="24"/>
          <w:lang w:val="en-US" w:eastAsia="zh-CN"/>
        </w:rPr>
        <w:t>由此产生的实际处置费用院方承诺承担</w:t>
      </w:r>
      <w:r>
        <w:rPr>
          <w:spacing w:val="-3"/>
          <w:sz w:val="24"/>
          <w:szCs w:val="24"/>
        </w:rPr>
        <w:t>。</w:t>
      </w:r>
    </w:p>
    <w:p w14:paraId="7853297D">
      <w:pPr>
        <w:pStyle w:val="2"/>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firstLine="482" w:firstLineChars="200"/>
        <w:textAlignment w:val="auto"/>
        <w:rPr>
          <w:sz w:val="24"/>
          <w:szCs w:val="24"/>
        </w:rPr>
      </w:pP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sz w:val="24"/>
          <w:szCs w:val="24"/>
        </w:rPr>
        <w:t>材料与设备</w:t>
      </w:r>
    </w:p>
    <w:p w14:paraId="4623C01C">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ascii="宋体" w:hAnsi="宋体" w:eastAsia="宋体" w:cs="宋体"/>
          <w:sz w:val="24"/>
          <w:szCs w:val="24"/>
        </w:rPr>
      </w:pPr>
      <w:r>
        <w:rPr>
          <w:sz w:val="24"/>
          <w:szCs w:val="24"/>
        </w:rPr>
        <w:t>1</w:t>
      </w:r>
      <w:r>
        <w:rPr>
          <w:rFonts w:hint="eastAsia"/>
          <w:sz w:val="24"/>
          <w:szCs w:val="24"/>
          <w:lang w:eastAsia="zh-CN"/>
        </w:rPr>
        <w:t>.</w:t>
      </w:r>
      <w:r>
        <w:rPr>
          <w:sz w:val="24"/>
          <w:szCs w:val="24"/>
        </w:rPr>
        <w:t>维护保养项目</w:t>
      </w:r>
      <w:r>
        <w:rPr>
          <w:rFonts w:hint="eastAsia"/>
          <w:sz w:val="24"/>
          <w:szCs w:val="24"/>
          <w:lang w:val="en-US" w:eastAsia="zh-CN"/>
        </w:rPr>
        <w:t>中所需</w:t>
      </w:r>
      <w:r>
        <w:rPr>
          <w:sz w:val="24"/>
          <w:szCs w:val="24"/>
        </w:rPr>
        <w:t>材料与设备由</w:t>
      </w:r>
      <w:r>
        <w:rPr>
          <w:rFonts w:hint="eastAsia"/>
          <w:b w:val="0"/>
          <w:bCs w:val="0"/>
          <w:sz w:val="24"/>
          <w:szCs w:val="24"/>
          <w:lang w:val="en-US" w:eastAsia="zh-CN"/>
        </w:rPr>
        <w:t>服务单位</w:t>
      </w:r>
      <w:r>
        <w:rPr>
          <w:sz w:val="24"/>
          <w:szCs w:val="24"/>
        </w:rPr>
        <w:t>负责采购</w:t>
      </w:r>
      <w:r>
        <w:rPr>
          <w:rFonts w:hint="eastAsia"/>
          <w:sz w:val="24"/>
          <w:szCs w:val="24"/>
          <w:lang w:val="en-US" w:eastAsia="zh-CN"/>
        </w:rPr>
        <w:t>安装</w:t>
      </w:r>
      <w:r>
        <w:rPr>
          <w:sz w:val="24"/>
          <w:szCs w:val="24"/>
        </w:rPr>
        <w:t>，</w:t>
      </w:r>
      <w:r>
        <w:rPr>
          <w:rFonts w:hint="eastAsia"/>
          <w:b w:val="0"/>
          <w:bCs w:val="0"/>
          <w:sz w:val="24"/>
          <w:szCs w:val="24"/>
          <w:lang w:val="en-US" w:eastAsia="zh-CN"/>
        </w:rPr>
        <w:t>服务单位</w:t>
      </w:r>
      <w:r>
        <w:rPr>
          <w:rFonts w:hint="eastAsia"/>
          <w:sz w:val="24"/>
          <w:szCs w:val="24"/>
          <w:lang w:val="en-US" w:eastAsia="zh-CN"/>
        </w:rPr>
        <w:t>应根据相关规范、材料设备使用</w:t>
      </w:r>
      <w:r>
        <w:rPr>
          <w:rFonts w:hint="eastAsia" w:ascii="宋体" w:hAnsi="宋体" w:eastAsia="宋体" w:cs="宋体"/>
          <w:sz w:val="24"/>
          <w:szCs w:val="24"/>
          <w:lang w:val="en-US" w:eastAsia="zh-CN"/>
        </w:rPr>
        <w:t>年限及时更换配件，确保系统正常运转各项功能正常发挥</w:t>
      </w:r>
      <w:r>
        <w:rPr>
          <w:rFonts w:ascii="宋体" w:hAnsi="宋体" w:eastAsia="宋体" w:cs="宋体"/>
          <w:sz w:val="24"/>
          <w:szCs w:val="24"/>
        </w:rPr>
        <w:t>。</w:t>
      </w:r>
    </w:p>
    <w:p w14:paraId="6173059F">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进场设备应进行现场检查并详细记录。禁止使用不合格、不符合国家消防产品要求的材料和设备。</w:t>
      </w:r>
    </w:p>
    <w:p w14:paraId="2E15D1CE">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rightChars="0" w:firstLine="480" w:firstLineChars="200"/>
        <w:textAlignment w:val="auto"/>
        <w:rPr>
          <w:rFonts w:hint="eastAsia" w:ascii="宋体" w:hAnsi="宋体" w:eastAsia="宋体" w:cs="宋体"/>
          <w:sz w:val="24"/>
          <w:szCs w:val="24"/>
        </w:rPr>
        <w:sectPr>
          <w:headerReference r:id="rId5" w:type="default"/>
          <w:footerReference r:id="rId6" w:type="default"/>
          <w:pgSz w:w="11910" w:h="16840"/>
          <w:pgMar w:top="1440" w:right="1083" w:bottom="1440" w:left="1303" w:header="1134" w:footer="1134" w:gutter="0"/>
          <w:pgNumType w:fmt="decimal" w:start="1"/>
          <w:cols w:space="720" w:num="1"/>
          <w:rtlGutter w:val="0"/>
          <w:docGrid w:linePitch="1" w:charSpace="0"/>
        </w:sectPr>
      </w:pPr>
      <w:r>
        <w:rPr>
          <w:rFonts w:hint="eastAsia" w:ascii="宋体" w:hAnsi="宋体" w:eastAsia="宋体" w:cs="宋体"/>
          <w:sz w:val="24"/>
          <w:szCs w:val="24"/>
          <w:lang w:val="en-US" w:eastAsia="zh-CN"/>
        </w:rPr>
        <w:t>4.</w:t>
      </w:r>
      <w:r>
        <w:rPr>
          <w:rFonts w:hint="eastAsia"/>
          <w:b w:val="0"/>
          <w:bCs w:val="0"/>
          <w:sz w:val="24"/>
          <w:szCs w:val="24"/>
          <w:lang w:val="en-US" w:eastAsia="zh-CN"/>
        </w:rPr>
        <w:t>服务单位</w:t>
      </w:r>
      <w:r>
        <w:rPr>
          <w:rFonts w:hint="eastAsia" w:ascii="宋体" w:hAnsi="宋体" w:eastAsia="宋体" w:cs="宋体"/>
          <w:sz w:val="24"/>
          <w:szCs w:val="24"/>
          <w:lang w:val="en-US" w:eastAsia="zh-CN"/>
        </w:rPr>
        <w:t>应</w:t>
      </w:r>
      <w:r>
        <w:rPr>
          <w:rFonts w:hint="eastAsia" w:ascii="宋体" w:hAnsi="宋体" w:eastAsia="宋体" w:cs="宋体"/>
          <w:sz w:val="24"/>
          <w:szCs w:val="24"/>
        </w:rPr>
        <w:t>按规范要求配备一定数量的消防设施易损件，以保证消防系统能及时维修并恢复良好可用状态。</w:t>
      </w:r>
    </w:p>
    <w:p w14:paraId="07521079">
      <w:pPr>
        <w:adjustRightInd w:val="0"/>
        <w:snapToGrid w:val="0"/>
        <w:spacing w:line="480" w:lineRule="auto"/>
        <w:rPr>
          <w:b/>
          <w:color w:val="auto"/>
          <w:szCs w:val="21"/>
          <w:highlight w:val="none"/>
        </w:rPr>
      </w:pPr>
      <w:r>
        <w:rPr>
          <w:rFonts w:hint="eastAsia"/>
          <w:b/>
          <w:color w:val="auto"/>
          <w:szCs w:val="21"/>
          <w:highlight w:val="none"/>
        </w:rPr>
        <w:t xml:space="preserve">附件1 </w:t>
      </w:r>
    </w:p>
    <w:p w14:paraId="61CC0EC3">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lang w:eastAsia="zh-CN"/>
        </w:rPr>
        <w:t>月度</w:t>
      </w:r>
      <w:r>
        <w:rPr>
          <w:rFonts w:hint="eastAsia" w:ascii="宋体" w:hAnsi="宋体"/>
          <w:b/>
          <w:color w:val="auto"/>
          <w:sz w:val="28"/>
          <w:szCs w:val="28"/>
          <w:highlight w:val="none"/>
        </w:rPr>
        <w:t>考核评分表</w:t>
      </w:r>
    </w:p>
    <w:p w14:paraId="66B02219">
      <w:pPr>
        <w:ind w:firstLine="4830"/>
        <w:rPr>
          <w:rFonts w:ascii="宋体" w:hAnsi="宋体"/>
          <w:color w:val="auto"/>
          <w:szCs w:val="21"/>
          <w:highlight w:val="none"/>
        </w:rPr>
      </w:pPr>
    </w:p>
    <w:tbl>
      <w:tblPr>
        <w:tblStyle w:val="7"/>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1164"/>
        <w:gridCol w:w="4191"/>
        <w:gridCol w:w="1320"/>
        <w:gridCol w:w="1190"/>
      </w:tblGrid>
      <w:tr w14:paraId="3E62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70" w:type="dxa"/>
            <w:gridSpan w:val="5"/>
            <w:tcBorders>
              <w:top w:val="nil"/>
              <w:left w:val="nil"/>
              <w:bottom w:val="single" w:color="auto" w:sz="4" w:space="0"/>
              <w:right w:val="nil"/>
            </w:tcBorders>
            <w:noWrap w:val="0"/>
            <w:vAlign w:val="center"/>
          </w:tcPr>
          <w:p w14:paraId="35A814A8">
            <w:pPr>
              <w:jc w:val="center"/>
              <w:rPr>
                <w:rFonts w:hint="eastAsia"/>
                <w:color w:val="auto"/>
                <w:highlight w:val="none"/>
              </w:rPr>
            </w:pPr>
            <w:r>
              <w:rPr>
                <w:rFonts w:hint="eastAsia"/>
                <w:color w:val="auto"/>
                <w:sz w:val="28"/>
                <w:szCs w:val="36"/>
                <w:highlight w:val="none"/>
                <w:lang w:val="en-US" w:eastAsia="zh-CN"/>
              </w:rPr>
              <w:t>月度考核评分表</w:t>
            </w:r>
          </w:p>
        </w:tc>
      </w:tr>
      <w:tr w14:paraId="6DFB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70" w:type="dxa"/>
            <w:gridSpan w:val="5"/>
            <w:tcBorders>
              <w:top w:val="single" w:color="auto" w:sz="4" w:space="0"/>
              <w:left w:val="single" w:color="auto" w:sz="4" w:space="0"/>
              <w:bottom w:val="single" w:color="auto" w:sz="4" w:space="0"/>
              <w:right w:val="single" w:color="auto" w:sz="4" w:space="0"/>
            </w:tcBorders>
            <w:noWrap w:val="0"/>
            <w:vAlign w:val="center"/>
          </w:tcPr>
          <w:p w14:paraId="143B0AC0">
            <w:pPr>
              <w:rPr>
                <w:rFonts w:hint="eastAsia"/>
                <w:color w:val="auto"/>
                <w:highlight w:val="none"/>
              </w:rPr>
            </w:pPr>
            <w:r>
              <w:rPr>
                <w:rFonts w:hint="eastAsia"/>
                <w:color w:val="auto"/>
                <w:highlight w:val="none"/>
                <w:lang w:val="en-US" w:eastAsia="zh-CN"/>
              </w:rPr>
              <w:t>考核单位：                   被考核公司：               考核时间：</w:t>
            </w:r>
          </w:p>
        </w:tc>
      </w:tr>
      <w:tr w14:paraId="117A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3127B0A8">
            <w:pPr>
              <w:rPr>
                <w:color w:val="auto"/>
                <w:highlight w:val="none"/>
              </w:rPr>
            </w:pPr>
            <w:r>
              <w:rPr>
                <w:rFonts w:hint="default"/>
                <w:color w:val="auto"/>
                <w:highlight w:val="none"/>
                <w:lang w:val="en-US" w:eastAsia="zh-CN"/>
              </w:rPr>
              <w:t>序号</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75C8285">
            <w:pPr>
              <w:rPr>
                <w:rFonts w:hint="default"/>
                <w:color w:val="auto"/>
                <w:highlight w:val="none"/>
              </w:rPr>
            </w:pPr>
            <w:r>
              <w:rPr>
                <w:rFonts w:hint="default"/>
                <w:color w:val="auto"/>
                <w:highlight w:val="none"/>
                <w:lang w:val="en-US" w:eastAsia="zh-CN"/>
              </w:rPr>
              <w:t>项目</w:t>
            </w:r>
          </w:p>
        </w:tc>
        <w:tc>
          <w:tcPr>
            <w:tcW w:w="4191" w:type="dxa"/>
            <w:tcBorders>
              <w:top w:val="single" w:color="auto" w:sz="4" w:space="0"/>
              <w:left w:val="single" w:color="auto" w:sz="4" w:space="0"/>
              <w:bottom w:val="single" w:color="auto" w:sz="4" w:space="0"/>
              <w:right w:val="single" w:color="auto" w:sz="4" w:space="0"/>
            </w:tcBorders>
            <w:noWrap w:val="0"/>
            <w:vAlign w:val="center"/>
          </w:tcPr>
          <w:p w14:paraId="798AD4AD">
            <w:pPr>
              <w:rPr>
                <w:rFonts w:hint="default"/>
                <w:color w:val="auto"/>
                <w:highlight w:val="none"/>
              </w:rPr>
            </w:pPr>
            <w:r>
              <w:rPr>
                <w:rFonts w:hint="default"/>
                <w:color w:val="auto"/>
                <w:highlight w:val="none"/>
                <w:lang w:val="en-US" w:eastAsia="zh-CN"/>
              </w:rPr>
              <w:t>服务质量考核内容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437024C">
            <w:pPr>
              <w:rPr>
                <w:rFonts w:hint="default"/>
                <w:color w:val="auto"/>
                <w:highlight w:val="none"/>
              </w:rPr>
            </w:pPr>
            <w:r>
              <w:rPr>
                <w:rFonts w:hint="default"/>
                <w:color w:val="auto"/>
                <w:highlight w:val="none"/>
                <w:lang w:val="en-US" w:eastAsia="zh-CN"/>
              </w:rPr>
              <w:t>得分</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0C8080CE">
            <w:pPr>
              <w:rPr>
                <w:rFonts w:hint="default"/>
                <w:color w:val="auto"/>
                <w:highlight w:val="none"/>
              </w:rPr>
            </w:pPr>
            <w:r>
              <w:rPr>
                <w:rFonts w:hint="default"/>
                <w:color w:val="auto"/>
                <w:highlight w:val="none"/>
                <w:lang w:val="en-US" w:eastAsia="zh-CN"/>
              </w:rPr>
              <w:t xml:space="preserve">  备注</w:t>
            </w:r>
          </w:p>
        </w:tc>
      </w:tr>
      <w:tr w14:paraId="381D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5" w:type="dxa"/>
            <w:tcBorders>
              <w:top w:val="single" w:color="auto" w:sz="4" w:space="0"/>
              <w:left w:val="single" w:color="000000" w:sz="4" w:space="0"/>
              <w:bottom w:val="single" w:color="000000" w:sz="4" w:space="0"/>
              <w:right w:val="single" w:color="000000" w:sz="4" w:space="0"/>
            </w:tcBorders>
            <w:noWrap w:val="0"/>
            <w:vAlign w:val="center"/>
          </w:tcPr>
          <w:p w14:paraId="59587729">
            <w:pPr>
              <w:jc w:val="center"/>
              <w:rPr>
                <w:rFonts w:hint="default"/>
                <w:color w:val="auto"/>
                <w:highlight w:val="none"/>
              </w:rPr>
            </w:pPr>
            <w:r>
              <w:rPr>
                <w:rFonts w:hint="default"/>
                <w:color w:val="auto"/>
                <w:highlight w:val="none"/>
                <w:lang w:val="en-US" w:eastAsia="zh-CN"/>
              </w:rPr>
              <w:t>1</w:t>
            </w:r>
          </w:p>
        </w:tc>
        <w:tc>
          <w:tcPr>
            <w:tcW w:w="1164" w:type="dxa"/>
            <w:tcBorders>
              <w:top w:val="single" w:color="auto" w:sz="4" w:space="0"/>
              <w:left w:val="single" w:color="000000" w:sz="4" w:space="0"/>
              <w:bottom w:val="single" w:color="000000" w:sz="4" w:space="0"/>
              <w:right w:val="single" w:color="000000" w:sz="4" w:space="0"/>
            </w:tcBorders>
            <w:noWrap w:val="0"/>
            <w:vAlign w:val="center"/>
          </w:tcPr>
          <w:p w14:paraId="521BFF43">
            <w:pPr>
              <w:rPr>
                <w:rFonts w:hint="default"/>
                <w:color w:val="auto"/>
                <w:highlight w:val="none"/>
              </w:rPr>
            </w:pPr>
            <w:r>
              <w:rPr>
                <w:color w:val="auto"/>
                <w:highlight w:val="none"/>
                <w:lang w:val="en-US" w:eastAsia="zh-CN"/>
              </w:rPr>
              <w:t>遗留问题（10</w:t>
            </w:r>
            <w:r>
              <w:rPr>
                <w:rFonts w:hint="eastAsia"/>
                <w:color w:val="auto"/>
                <w:highlight w:val="none"/>
                <w:lang w:val="en-US" w:eastAsia="zh-CN"/>
              </w:rPr>
              <w:t>分）</w:t>
            </w:r>
          </w:p>
        </w:tc>
        <w:tc>
          <w:tcPr>
            <w:tcW w:w="4191" w:type="dxa"/>
            <w:tcBorders>
              <w:top w:val="single" w:color="auto" w:sz="4" w:space="0"/>
              <w:left w:val="single" w:color="000000" w:sz="4" w:space="0"/>
              <w:bottom w:val="single" w:color="000000" w:sz="4" w:space="0"/>
              <w:right w:val="single" w:color="000000" w:sz="4" w:space="0"/>
            </w:tcBorders>
            <w:noWrap w:val="0"/>
            <w:vAlign w:val="center"/>
          </w:tcPr>
          <w:p w14:paraId="6C49CFE0">
            <w:pPr>
              <w:rPr>
                <w:color w:val="auto"/>
                <w:highlight w:val="none"/>
              </w:rPr>
            </w:pPr>
            <w:r>
              <w:rPr>
                <w:color w:val="auto"/>
                <w:highlight w:val="none"/>
                <w:lang w:val="en-US" w:eastAsia="zh-CN"/>
              </w:rPr>
              <w:t>消防主机故障</w:t>
            </w:r>
            <w:r>
              <w:rPr>
                <w:rFonts w:hint="default"/>
                <w:color w:val="auto"/>
                <w:highlight w:val="none"/>
                <w:lang w:val="en-US" w:eastAsia="zh-CN"/>
              </w:rPr>
              <w:t>/</w:t>
            </w:r>
            <w:r>
              <w:rPr>
                <w:rFonts w:hint="eastAsia"/>
                <w:color w:val="auto"/>
                <w:highlight w:val="none"/>
                <w:lang w:val="en-US" w:eastAsia="zh-CN"/>
              </w:rPr>
              <w:t>屏蔽</w:t>
            </w:r>
            <w:r>
              <w:rPr>
                <w:color w:val="auto"/>
                <w:highlight w:val="none"/>
                <w:lang w:val="en-US" w:eastAsia="zh-CN"/>
              </w:rPr>
              <w:t>遗留问题解决情况，每遗留一个问题扣2分。</w:t>
            </w:r>
          </w:p>
        </w:tc>
        <w:tc>
          <w:tcPr>
            <w:tcW w:w="1320" w:type="dxa"/>
            <w:tcBorders>
              <w:top w:val="single" w:color="auto" w:sz="4" w:space="0"/>
              <w:left w:val="single" w:color="000000" w:sz="4" w:space="0"/>
              <w:bottom w:val="single" w:color="000000" w:sz="4" w:space="0"/>
              <w:right w:val="single" w:color="000000" w:sz="4" w:space="0"/>
            </w:tcBorders>
            <w:noWrap w:val="0"/>
            <w:vAlign w:val="center"/>
          </w:tcPr>
          <w:p w14:paraId="36D51239">
            <w:pPr>
              <w:rPr>
                <w:rFonts w:hint="default"/>
                <w:color w:val="auto"/>
                <w:highlight w:val="none"/>
              </w:rPr>
            </w:pPr>
          </w:p>
        </w:tc>
        <w:tc>
          <w:tcPr>
            <w:tcW w:w="1190" w:type="dxa"/>
            <w:tcBorders>
              <w:top w:val="single" w:color="auto" w:sz="4" w:space="0"/>
              <w:left w:val="single" w:color="000000" w:sz="4" w:space="0"/>
              <w:bottom w:val="single" w:color="000000" w:sz="4" w:space="0"/>
              <w:right w:val="single" w:color="000000" w:sz="4" w:space="0"/>
            </w:tcBorders>
            <w:noWrap w:val="0"/>
            <w:vAlign w:val="top"/>
          </w:tcPr>
          <w:p w14:paraId="0AD18B3E">
            <w:pPr>
              <w:rPr>
                <w:rFonts w:hint="default"/>
                <w:color w:val="auto"/>
                <w:highlight w:val="none"/>
              </w:rPr>
            </w:pPr>
          </w:p>
        </w:tc>
      </w:tr>
      <w:tr w14:paraId="6E3B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4"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59C99C">
            <w:pPr>
              <w:jc w:val="center"/>
              <w:rPr>
                <w:color w:val="auto"/>
                <w:highlight w:val="none"/>
              </w:rPr>
            </w:pPr>
            <w:r>
              <w:rPr>
                <w:color w:val="auto"/>
                <w:highlight w:val="none"/>
                <w:lang w:val="en-US" w:eastAsia="zh-CN"/>
              </w:rPr>
              <w:t>2</w:t>
            </w:r>
          </w:p>
        </w:tc>
        <w:tc>
          <w:tcPr>
            <w:tcW w:w="1164" w:type="dxa"/>
            <w:vMerge w:val="restart"/>
            <w:tcBorders>
              <w:top w:val="nil"/>
              <w:left w:val="single" w:color="000000" w:sz="4" w:space="0"/>
              <w:bottom w:val="single" w:color="000000" w:sz="4" w:space="0"/>
              <w:right w:val="single" w:color="000000" w:sz="4" w:space="0"/>
            </w:tcBorders>
            <w:noWrap w:val="0"/>
            <w:vAlign w:val="center"/>
          </w:tcPr>
          <w:p w14:paraId="36AD073A">
            <w:pPr>
              <w:rPr>
                <w:rFonts w:hint="default"/>
                <w:color w:val="auto"/>
                <w:highlight w:val="none"/>
              </w:rPr>
            </w:pPr>
            <w:r>
              <w:rPr>
                <w:rFonts w:hint="eastAsia"/>
                <w:color w:val="auto"/>
                <w:highlight w:val="none"/>
                <w:lang w:val="en-US" w:eastAsia="zh-CN"/>
              </w:rPr>
              <w:t>维保</w:t>
            </w:r>
            <w:r>
              <w:rPr>
                <w:color w:val="auto"/>
                <w:highlight w:val="none"/>
                <w:lang w:val="en-US" w:eastAsia="zh-CN"/>
              </w:rPr>
              <w:t>工作情况（</w:t>
            </w:r>
            <w:r>
              <w:rPr>
                <w:rFonts w:hint="default"/>
                <w:color w:val="auto"/>
                <w:highlight w:val="none"/>
                <w:lang w:val="en-US" w:eastAsia="zh-CN"/>
              </w:rPr>
              <w:t>30</w:t>
            </w:r>
            <w:r>
              <w:rPr>
                <w:rFonts w:hint="eastAsia"/>
                <w:color w:val="auto"/>
                <w:highlight w:val="none"/>
                <w:lang w:val="en-US" w:eastAsia="zh-CN"/>
              </w:rPr>
              <w:t>分）</w:t>
            </w: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2C54F8DD">
            <w:pPr>
              <w:rPr>
                <w:color w:val="auto"/>
                <w:highlight w:val="none"/>
              </w:rPr>
            </w:pPr>
            <w:r>
              <w:rPr>
                <w:color w:val="auto"/>
                <w:highlight w:val="none"/>
                <w:lang w:val="en-US" w:eastAsia="zh-CN"/>
              </w:rPr>
              <w:t>本</w:t>
            </w:r>
            <w:r>
              <w:rPr>
                <w:rFonts w:hint="eastAsia"/>
                <w:color w:val="auto"/>
                <w:highlight w:val="none"/>
                <w:lang w:val="en-US" w:eastAsia="zh-CN"/>
              </w:rPr>
              <w:t>月</w:t>
            </w:r>
            <w:r>
              <w:rPr>
                <w:color w:val="auto"/>
                <w:highlight w:val="none"/>
                <w:lang w:val="en-US" w:eastAsia="zh-CN"/>
              </w:rPr>
              <w:t>度消防设备设施年度对消防供配电系统、火灾自动报警系统、消防供水设施、消火栓、自动喷水系统、泡沫和气体灭火系统、防排烟系统、疏散照明、应急广播、消防电话、防火分隔等、消防电梯、电气火灾监控系统、可燃气体报警系统的</w:t>
            </w:r>
            <w:r>
              <w:rPr>
                <w:rFonts w:hint="eastAsia"/>
                <w:color w:val="auto"/>
                <w:highlight w:val="none"/>
                <w:lang w:val="en-US" w:eastAsia="zh-CN"/>
              </w:rPr>
              <w:t>每月</w:t>
            </w:r>
            <w:r>
              <w:rPr>
                <w:color w:val="auto"/>
                <w:highlight w:val="none"/>
                <w:lang w:val="en-US" w:eastAsia="zh-CN"/>
              </w:rPr>
              <w:t>检查维保计划表完成情况。</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AEAD6F">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1E26D057">
            <w:pPr>
              <w:rPr>
                <w:rFonts w:hint="default"/>
                <w:color w:val="auto"/>
                <w:highlight w:val="none"/>
              </w:rPr>
            </w:pPr>
          </w:p>
        </w:tc>
      </w:tr>
      <w:tr w14:paraId="15B0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C47B8">
            <w:pPr>
              <w:jc w:val="center"/>
              <w:rPr>
                <w:rFonts w:hint="eastAsia"/>
                <w:color w:val="auto"/>
                <w:highlight w:val="none"/>
              </w:rPr>
            </w:pPr>
          </w:p>
        </w:tc>
        <w:tc>
          <w:tcPr>
            <w:tcW w:w="1164" w:type="dxa"/>
            <w:vMerge w:val="continue"/>
            <w:tcBorders>
              <w:top w:val="nil"/>
              <w:left w:val="single" w:color="000000" w:sz="4" w:space="0"/>
              <w:bottom w:val="single" w:color="000000" w:sz="4" w:space="0"/>
              <w:right w:val="single" w:color="000000" w:sz="4" w:space="0"/>
            </w:tcBorders>
            <w:noWrap w:val="0"/>
            <w:vAlign w:val="center"/>
          </w:tcPr>
          <w:p w14:paraId="44A6F9D9">
            <w:pPr>
              <w:rPr>
                <w:rFonts w:hint="default"/>
                <w:color w:val="auto"/>
                <w:highlight w:val="none"/>
              </w:rPr>
            </w:pP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10F9EB04">
            <w:pPr>
              <w:rPr>
                <w:color w:val="auto"/>
                <w:highlight w:val="none"/>
                <w:lang w:val="en-US" w:eastAsia="zh-CN"/>
              </w:rPr>
            </w:pPr>
            <w:r>
              <w:rPr>
                <w:color w:val="auto"/>
                <w:highlight w:val="none"/>
                <w:lang w:val="en-US" w:eastAsia="zh-CN"/>
              </w:rPr>
              <w:t>本</w:t>
            </w:r>
            <w:r>
              <w:rPr>
                <w:rFonts w:hint="eastAsia"/>
                <w:color w:val="auto"/>
                <w:highlight w:val="none"/>
                <w:lang w:val="en-US" w:eastAsia="zh-CN"/>
              </w:rPr>
              <w:t>月</w:t>
            </w:r>
            <w:r>
              <w:rPr>
                <w:color w:val="auto"/>
                <w:highlight w:val="none"/>
                <w:lang w:val="en-US" w:eastAsia="zh-CN"/>
              </w:rPr>
              <w:t>度所提出的设备设施故障排除情况：</w:t>
            </w:r>
            <w:r>
              <w:rPr>
                <w:color w:val="auto"/>
                <w:highlight w:val="none"/>
                <w:lang w:val="en-US" w:eastAsia="zh-CN"/>
              </w:rPr>
              <w:br w:type="textWrapping"/>
            </w:r>
            <w:r>
              <w:rPr>
                <w:color w:val="auto"/>
                <w:highlight w:val="none"/>
                <w:lang w:val="en-US" w:eastAsia="zh-CN"/>
              </w:rPr>
              <w:t>合计</w:t>
            </w:r>
            <w:r>
              <w:rPr>
                <w:color w:val="auto"/>
                <w:highlight w:val="none"/>
                <w:u w:val="single"/>
                <w:lang w:val="en-US" w:eastAsia="zh-CN"/>
              </w:rPr>
              <w:t xml:space="preserve">    </w:t>
            </w:r>
            <w:r>
              <w:rPr>
                <w:color w:val="auto"/>
                <w:highlight w:val="none"/>
                <w:lang w:val="en-US" w:eastAsia="zh-CN"/>
              </w:rPr>
              <w:t>项，完成</w:t>
            </w:r>
            <w:r>
              <w:rPr>
                <w:color w:val="auto"/>
                <w:highlight w:val="none"/>
                <w:u w:val="single"/>
                <w:lang w:val="en-US" w:eastAsia="zh-CN"/>
              </w:rPr>
              <w:t xml:space="preserve">  </w:t>
            </w:r>
            <w:r>
              <w:rPr>
                <w:rFonts w:hint="eastAsia"/>
                <w:color w:val="auto"/>
                <w:highlight w:val="none"/>
                <w:u w:val="single"/>
                <w:lang w:val="en-US" w:eastAsia="zh-CN"/>
              </w:rPr>
              <w:t xml:space="preserve"> </w:t>
            </w:r>
            <w:r>
              <w:rPr>
                <w:color w:val="auto"/>
                <w:highlight w:val="none"/>
                <w:u w:val="single"/>
                <w:lang w:val="en-US" w:eastAsia="zh-CN"/>
              </w:rPr>
              <w:t xml:space="preserve"> </w:t>
            </w:r>
            <w:r>
              <w:rPr>
                <w:color w:val="auto"/>
                <w:highlight w:val="none"/>
                <w:lang w:val="en-US" w:eastAsia="zh-CN"/>
              </w:rPr>
              <w:t>项，未完成</w:t>
            </w:r>
            <w:r>
              <w:rPr>
                <w:color w:val="auto"/>
                <w:highlight w:val="none"/>
                <w:u w:val="single"/>
                <w:lang w:val="en-US" w:eastAsia="zh-CN"/>
              </w:rPr>
              <w:t xml:space="preserve">    </w:t>
            </w:r>
            <w:r>
              <w:rPr>
                <w:color w:val="auto"/>
                <w:highlight w:val="none"/>
                <w:lang w:val="en-US" w:eastAsia="zh-CN"/>
              </w:rPr>
              <w:t>项。</w:t>
            </w:r>
          </w:p>
          <w:p w14:paraId="1506E38E">
            <w:pPr>
              <w:rPr>
                <w:rFonts w:hint="default"/>
                <w:color w:val="auto"/>
                <w:highlight w:val="none"/>
                <w:lang w:val="en-US" w:eastAsia="zh-CN"/>
              </w:rPr>
            </w:pPr>
            <w:r>
              <w:rPr>
                <w:rFonts w:hint="eastAsia"/>
                <w:color w:val="auto"/>
                <w:highlight w:val="none"/>
                <w:lang w:val="en-US" w:eastAsia="zh-CN"/>
              </w:rPr>
              <w:t>未完成的每项扣3分。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97F580">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641DF1C4">
            <w:pPr>
              <w:rPr>
                <w:rFonts w:hint="default"/>
                <w:color w:val="auto"/>
                <w:highlight w:val="none"/>
              </w:rPr>
            </w:pPr>
          </w:p>
        </w:tc>
      </w:tr>
      <w:tr w14:paraId="0550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51EB87">
            <w:pPr>
              <w:jc w:val="center"/>
              <w:rPr>
                <w:rFonts w:hint="default"/>
                <w:color w:val="auto"/>
                <w:highlight w:val="none"/>
              </w:rPr>
            </w:pPr>
            <w:r>
              <w:rPr>
                <w:rFonts w:hint="eastAsia"/>
                <w:color w:val="auto"/>
                <w:highlight w:val="none"/>
                <w:lang w:val="en-US" w:eastAsia="zh-CN"/>
              </w:rPr>
              <w:t>3</w:t>
            </w:r>
          </w:p>
        </w:tc>
        <w:tc>
          <w:tcPr>
            <w:tcW w:w="1164" w:type="dxa"/>
            <w:vMerge w:val="restart"/>
            <w:tcBorders>
              <w:top w:val="nil"/>
              <w:left w:val="single" w:color="000000" w:sz="4" w:space="0"/>
              <w:bottom w:val="single" w:color="000000" w:sz="4" w:space="0"/>
              <w:right w:val="single" w:color="000000" w:sz="4" w:space="0"/>
            </w:tcBorders>
            <w:noWrap w:val="0"/>
            <w:vAlign w:val="center"/>
          </w:tcPr>
          <w:p w14:paraId="76B2A5A0">
            <w:pPr>
              <w:rPr>
                <w:rFonts w:hint="default"/>
                <w:color w:val="auto"/>
                <w:highlight w:val="none"/>
              </w:rPr>
            </w:pPr>
            <w:r>
              <w:rPr>
                <w:color w:val="auto"/>
                <w:highlight w:val="none"/>
                <w:lang w:val="en-US" w:eastAsia="zh-CN"/>
              </w:rPr>
              <w:t>记录情况（20</w:t>
            </w:r>
            <w:r>
              <w:rPr>
                <w:rFonts w:hint="eastAsia"/>
                <w:color w:val="auto"/>
                <w:highlight w:val="none"/>
                <w:lang w:val="en-US" w:eastAsia="zh-CN"/>
              </w:rPr>
              <w:t>分）</w:t>
            </w: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0DD4D00B">
            <w:pPr>
              <w:rPr>
                <w:rFonts w:hint="default"/>
                <w:color w:val="auto"/>
                <w:highlight w:val="none"/>
                <w:lang w:val="en-US"/>
              </w:rPr>
            </w:pPr>
            <w:r>
              <w:rPr>
                <w:color w:val="auto"/>
                <w:highlight w:val="none"/>
                <w:lang w:val="en-US" w:eastAsia="zh-CN"/>
              </w:rPr>
              <w:t>维修保养月度计划和月度报告是否均按规定时间递交。</w:t>
            </w:r>
            <w:r>
              <w:rPr>
                <w:rFonts w:hint="eastAsia"/>
                <w:color w:val="auto"/>
                <w:highlight w:val="none"/>
                <w:lang w:val="en-US" w:eastAsia="zh-CN"/>
              </w:rPr>
              <w:t>每迟交一次扣2分。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36E2F6">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2CADFC5D">
            <w:pPr>
              <w:rPr>
                <w:rFonts w:hint="default"/>
                <w:color w:val="auto"/>
                <w:highlight w:val="none"/>
              </w:rPr>
            </w:pPr>
          </w:p>
        </w:tc>
      </w:tr>
      <w:tr w14:paraId="5CFC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40715">
            <w:pPr>
              <w:jc w:val="center"/>
              <w:rPr>
                <w:rFonts w:hint="default"/>
                <w:color w:val="auto"/>
                <w:highlight w:val="none"/>
              </w:rPr>
            </w:pPr>
          </w:p>
        </w:tc>
        <w:tc>
          <w:tcPr>
            <w:tcW w:w="1164" w:type="dxa"/>
            <w:vMerge w:val="continue"/>
            <w:tcBorders>
              <w:top w:val="nil"/>
              <w:left w:val="single" w:color="000000" w:sz="4" w:space="0"/>
              <w:bottom w:val="single" w:color="000000" w:sz="4" w:space="0"/>
              <w:right w:val="single" w:color="000000" w:sz="4" w:space="0"/>
            </w:tcBorders>
            <w:noWrap w:val="0"/>
            <w:vAlign w:val="center"/>
          </w:tcPr>
          <w:p w14:paraId="07276D5F">
            <w:pPr>
              <w:rPr>
                <w:rFonts w:hint="default"/>
                <w:color w:val="auto"/>
                <w:highlight w:val="none"/>
              </w:rPr>
            </w:pP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65F3DE01">
            <w:pPr>
              <w:rPr>
                <w:rFonts w:hint="default"/>
                <w:color w:val="auto"/>
                <w:highlight w:val="none"/>
                <w:lang w:val="en-US"/>
              </w:rPr>
            </w:pPr>
            <w:r>
              <w:rPr>
                <w:color w:val="auto"/>
                <w:highlight w:val="none"/>
                <w:lang w:val="en-US" w:eastAsia="zh-CN"/>
              </w:rPr>
              <w:t>保养记录与维修记录是否与相符，须与维保单形成闭环 。</w:t>
            </w:r>
            <w:r>
              <w:rPr>
                <w:rFonts w:hint="eastAsia"/>
                <w:color w:val="auto"/>
                <w:highlight w:val="none"/>
                <w:lang w:val="en-US" w:eastAsia="zh-CN"/>
              </w:rPr>
              <w:t>每出现一处扣2分。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00ADCC">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60FFD031">
            <w:pPr>
              <w:rPr>
                <w:rFonts w:hint="default"/>
                <w:color w:val="auto"/>
                <w:highlight w:val="none"/>
              </w:rPr>
            </w:pPr>
          </w:p>
        </w:tc>
      </w:tr>
      <w:tr w14:paraId="6735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D52212">
            <w:pPr>
              <w:jc w:val="center"/>
              <w:rPr>
                <w:rFonts w:hint="default"/>
                <w:color w:val="auto"/>
                <w:highlight w:val="none"/>
              </w:rPr>
            </w:pPr>
            <w:r>
              <w:rPr>
                <w:rFonts w:hint="eastAsia"/>
                <w:color w:val="auto"/>
                <w:highlight w:val="none"/>
                <w:lang w:val="en-US" w:eastAsia="zh-CN"/>
              </w:rPr>
              <w:t>4</w:t>
            </w:r>
          </w:p>
        </w:tc>
        <w:tc>
          <w:tcPr>
            <w:tcW w:w="1164" w:type="dxa"/>
            <w:vMerge w:val="restart"/>
            <w:tcBorders>
              <w:top w:val="nil"/>
              <w:left w:val="single" w:color="000000" w:sz="4" w:space="0"/>
              <w:bottom w:val="single" w:color="000000" w:sz="4" w:space="0"/>
              <w:right w:val="single" w:color="000000" w:sz="4" w:space="0"/>
            </w:tcBorders>
            <w:noWrap w:val="0"/>
            <w:vAlign w:val="center"/>
          </w:tcPr>
          <w:p w14:paraId="61451335">
            <w:pPr>
              <w:rPr>
                <w:rFonts w:hint="default"/>
                <w:color w:val="auto"/>
                <w:highlight w:val="none"/>
              </w:rPr>
            </w:pPr>
            <w:r>
              <w:rPr>
                <w:color w:val="auto"/>
                <w:highlight w:val="none"/>
                <w:lang w:val="en-US" w:eastAsia="zh-CN"/>
              </w:rPr>
              <w:t>故障处理情况（</w:t>
            </w:r>
            <w:r>
              <w:rPr>
                <w:rFonts w:hint="default"/>
                <w:color w:val="auto"/>
                <w:highlight w:val="none"/>
                <w:lang w:val="en-US" w:eastAsia="zh-CN"/>
              </w:rPr>
              <w:t>10</w:t>
            </w:r>
            <w:r>
              <w:rPr>
                <w:rFonts w:hint="eastAsia"/>
                <w:color w:val="auto"/>
                <w:highlight w:val="none"/>
                <w:lang w:val="en-US" w:eastAsia="zh-CN"/>
              </w:rPr>
              <w:t>分）</w:t>
            </w: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1C364B1B">
            <w:pPr>
              <w:rPr>
                <w:rFonts w:hint="default"/>
                <w:color w:val="auto"/>
                <w:highlight w:val="none"/>
                <w:lang w:val="en-US"/>
              </w:rPr>
            </w:pPr>
            <w:r>
              <w:rPr>
                <w:color w:val="auto"/>
                <w:highlight w:val="none"/>
                <w:lang w:val="en-US" w:eastAsia="zh-CN"/>
              </w:rPr>
              <w:t xml:space="preserve">应急事件进行处理时是否按规定2小时内到达现场进行排除。未按要求响应的次数：              </w:t>
            </w:r>
            <w:r>
              <w:rPr>
                <w:rFonts w:hint="eastAsia"/>
                <w:color w:val="auto"/>
                <w:highlight w:val="none"/>
                <w:lang w:val="en-US" w:eastAsia="zh-CN"/>
              </w:rPr>
              <w:t xml:space="preserve">        </w:t>
            </w:r>
            <w:r>
              <w:rPr>
                <w:color w:val="auto"/>
                <w:highlight w:val="none"/>
                <w:lang w:val="en-US" w:eastAsia="zh-CN"/>
              </w:rPr>
              <w:t>次 。</w:t>
            </w:r>
            <w:r>
              <w:rPr>
                <w:rFonts w:hint="eastAsia"/>
                <w:color w:val="auto"/>
                <w:highlight w:val="none"/>
                <w:lang w:val="en-US" w:eastAsia="zh-CN"/>
              </w:rPr>
              <w:t>每次扣3分。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EEF4EC">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7E80E3FA">
            <w:pPr>
              <w:rPr>
                <w:rFonts w:hint="default"/>
                <w:color w:val="auto"/>
                <w:highlight w:val="none"/>
              </w:rPr>
            </w:pPr>
          </w:p>
        </w:tc>
      </w:tr>
      <w:tr w14:paraId="7A58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33477">
            <w:pPr>
              <w:jc w:val="center"/>
              <w:rPr>
                <w:rFonts w:hint="default"/>
                <w:color w:val="auto"/>
                <w:highlight w:val="none"/>
              </w:rPr>
            </w:pPr>
          </w:p>
        </w:tc>
        <w:tc>
          <w:tcPr>
            <w:tcW w:w="1164" w:type="dxa"/>
            <w:vMerge w:val="continue"/>
            <w:tcBorders>
              <w:top w:val="nil"/>
              <w:left w:val="single" w:color="000000" w:sz="4" w:space="0"/>
              <w:bottom w:val="single" w:color="000000" w:sz="4" w:space="0"/>
              <w:right w:val="single" w:color="000000" w:sz="4" w:space="0"/>
            </w:tcBorders>
            <w:noWrap w:val="0"/>
            <w:vAlign w:val="center"/>
          </w:tcPr>
          <w:p w14:paraId="3A9FCF45">
            <w:pPr>
              <w:rPr>
                <w:rFonts w:hint="default"/>
                <w:color w:val="auto"/>
                <w:highlight w:val="none"/>
              </w:rPr>
            </w:pP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1B3F01E6">
            <w:pPr>
              <w:rPr>
                <w:rFonts w:hint="default"/>
                <w:color w:val="auto"/>
                <w:highlight w:val="none"/>
                <w:lang w:val="en-US"/>
              </w:rPr>
            </w:pPr>
            <w:r>
              <w:rPr>
                <w:color w:val="auto"/>
                <w:highlight w:val="none"/>
                <w:lang w:val="en-US" w:eastAsia="zh-CN"/>
              </w:rPr>
              <w:t>消防系统出现故障时是否按规定24小时内修复故障，并保证设备的正常运行。未按要求响应的次数：</w:t>
            </w:r>
            <w:r>
              <w:rPr>
                <w:color w:val="auto"/>
                <w:highlight w:val="none"/>
                <w:u w:val="single"/>
                <w:lang w:val="en-US" w:eastAsia="zh-CN"/>
              </w:rPr>
              <w:t xml:space="preserve">        </w:t>
            </w:r>
            <w:r>
              <w:rPr>
                <w:color w:val="auto"/>
                <w:highlight w:val="none"/>
                <w:lang w:val="en-US" w:eastAsia="zh-CN"/>
              </w:rPr>
              <w:t>次 。</w:t>
            </w:r>
            <w:r>
              <w:rPr>
                <w:rFonts w:hint="eastAsia"/>
                <w:color w:val="auto"/>
                <w:highlight w:val="none"/>
                <w:lang w:val="en-US" w:eastAsia="zh-CN"/>
              </w:rPr>
              <w:t>每次扣2分。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284A88">
            <w:pPr>
              <w:rPr>
                <w:rFonts w:hint="default"/>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62BC4A8B">
            <w:pPr>
              <w:rPr>
                <w:rFonts w:hint="default"/>
                <w:color w:val="auto"/>
                <w:highlight w:val="none"/>
              </w:rPr>
            </w:pPr>
          </w:p>
        </w:tc>
      </w:tr>
      <w:tr w14:paraId="6527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754608">
            <w:pPr>
              <w:jc w:val="center"/>
              <w:rPr>
                <w:rFonts w:hint="default"/>
                <w:color w:val="auto"/>
                <w:highlight w:val="none"/>
              </w:rPr>
            </w:pPr>
            <w:r>
              <w:rPr>
                <w:rFonts w:hint="eastAsia"/>
                <w:color w:val="auto"/>
                <w:highlight w:val="none"/>
                <w:lang w:val="en-US" w:eastAsia="zh-CN"/>
              </w:rPr>
              <w:t>5</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14:paraId="2E5B9B40">
            <w:pPr>
              <w:rPr>
                <w:rFonts w:hint="default"/>
                <w:color w:val="auto"/>
                <w:highlight w:val="none"/>
              </w:rPr>
            </w:pPr>
            <w:r>
              <w:rPr>
                <w:rFonts w:hint="eastAsia"/>
                <w:color w:val="auto"/>
                <w:highlight w:val="none"/>
                <w:lang w:val="en-US" w:eastAsia="zh-CN"/>
              </w:rPr>
              <w:t>工作质量和</w:t>
            </w:r>
            <w:r>
              <w:rPr>
                <w:rFonts w:hint="default"/>
                <w:color w:val="auto"/>
                <w:highlight w:val="none"/>
                <w:lang w:val="en-US" w:eastAsia="zh-CN"/>
              </w:rPr>
              <w:t>纪律态度（</w:t>
            </w:r>
            <w:r>
              <w:rPr>
                <w:rFonts w:hint="eastAsia"/>
                <w:color w:val="auto"/>
                <w:highlight w:val="none"/>
                <w:lang w:val="en-US" w:eastAsia="zh-CN"/>
              </w:rPr>
              <w:t>3</w:t>
            </w:r>
            <w:r>
              <w:rPr>
                <w:rFonts w:hint="default"/>
                <w:color w:val="auto"/>
                <w:highlight w:val="none"/>
                <w:lang w:val="en-US" w:eastAsia="zh-CN"/>
              </w:rPr>
              <w:t>0分）</w:t>
            </w: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2FC2787D">
            <w:pPr>
              <w:rPr>
                <w:rFonts w:hint="default"/>
                <w:color w:val="auto"/>
                <w:highlight w:val="none"/>
                <w:lang w:val="en-US"/>
              </w:rPr>
            </w:pPr>
            <w:r>
              <w:rPr>
                <w:color w:val="auto"/>
                <w:highlight w:val="none"/>
                <w:lang w:val="en-US" w:eastAsia="zh-CN"/>
              </w:rPr>
              <w:t>维保人员是否持证上岗，是否积极配合，服务到位,及时完成各项维保工作任务。</w:t>
            </w:r>
            <w:r>
              <w:rPr>
                <w:rFonts w:hint="eastAsia"/>
                <w:color w:val="auto"/>
                <w:highlight w:val="none"/>
                <w:lang w:val="en-US" w:eastAsia="zh-CN"/>
              </w:rPr>
              <w:t>每次扣5分。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4E6002">
            <w:pPr>
              <w:rPr>
                <w:rFonts w:hint="eastAsia"/>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69115DE3">
            <w:pPr>
              <w:rPr>
                <w:rFonts w:hint="default"/>
                <w:color w:val="auto"/>
                <w:highlight w:val="none"/>
              </w:rPr>
            </w:pPr>
          </w:p>
        </w:tc>
      </w:tr>
      <w:tr w14:paraId="5BB3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05" w:type="dxa"/>
            <w:vMerge w:val="continue"/>
            <w:tcBorders>
              <w:left w:val="single" w:color="000000" w:sz="4" w:space="0"/>
              <w:right w:val="single" w:color="000000" w:sz="4" w:space="0"/>
            </w:tcBorders>
            <w:noWrap w:val="0"/>
            <w:vAlign w:val="center"/>
          </w:tcPr>
          <w:p w14:paraId="2912455F">
            <w:pPr>
              <w:jc w:val="center"/>
              <w:rPr>
                <w:rFonts w:hint="default"/>
                <w:color w:val="auto"/>
                <w:highlight w:val="none"/>
                <w:lang w:val="en-US" w:eastAsia="zh-CN"/>
              </w:rPr>
            </w:pPr>
          </w:p>
        </w:tc>
        <w:tc>
          <w:tcPr>
            <w:tcW w:w="1164" w:type="dxa"/>
            <w:vMerge w:val="continue"/>
            <w:tcBorders>
              <w:left w:val="single" w:color="000000" w:sz="4" w:space="0"/>
              <w:right w:val="single" w:color="000000" w:sz="4" w:space="0"/>
            </w:tcBorders>
            <w:noWrap w:val="0"/>
            <w:vAlign w:val="center"/>
          </w:tcPr>
          <w:p w14:paraId="2239024D">
            <w:pPr>
              <w:rPr>
                <w:rFonts w:hint="default"/>
                <w:color w:val="auto"/>
                <w:highlight w:val="none"/>
                <w:lang w:val="en-US" w:eastAsia="zh-CN"/>
              </w:rPr>
            </w:pP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76CCA73F">
            <w:pPr>
              <w:rPr>
                <w:rFonts w:hint="default"/>
                <w:color w:val="auto"/>
                <w:highlight w:val="none"/>
                <w:lang w:val="en-US" w:eastAsia="zh-CN"/>
              </w:rPr>
            </w:pPr>
            <w:r>
              <w:rPr>
                <w:rFonts w:hint="eastAsia"/>
                <w:color w:val="auto"/>
                <w:highlight w:val="none"/>
                <w:lang w:val="en-US" w:eastAsia="zh-CN"/>
              </w:rPr>
              <w:t>维保人员在工作过程中是否存在不按要求执行的情况。每次扣3分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3131BC3">
            <w:pPr>
              <w:rPr>
                <w:rFonts w:hint="eastAsia"/>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4DA87D3E">
            <w:pPr>
              <w:rPr>
                <w:rFonts w:hint="default"/>
                <w:color w:val="auto"/>
                <w:highlight w:val="none"/>
              </w:rPr>
            </w:pPr>
          </w:p>
        </w:tc>
      </w:tr>
      <w:tr w14:paraId="0A45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863A1">
            <w:pPr>
              <w:jc w:val="center"/>
              <w:rPr>
                <w:rFonts w:hint="default"/>
                <w:color w:val="auto"/>
                <w:highlight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A043F">
            <w:pPr>
              <w:rPr>
                <w:rFonts w:hint="default"/>
                <w:color w:val="auto"/>
                <w:highlight w:val="none"/>
              </w:rPr>
            </w:pPr>
          </w:p>
        </w:tc>
        <w:tc>
          <w:tcPr>
            <w:tcW w:w="4191" w:type="dxa"/>
            <w:tcBorders>
              <w:top w:val="single" w:color="000000" w:sz="4" w:space="0"/>
              <w:left w:val="single" w:color="000000" w:sz="4" w:space="0"/>
              <w:bottom w:val="single" w:color="000000" w:sz="4" w:space="0"/>
              <w:right w:val="single" w:color="000000" w:sz="4" w:space="0"/>
            </w:tcBorders>
            <w:noWrap w:val="0"/>
            <w:vAlign w:val="center"/>
          </w:tcPr>
          <w:p w14:paraId="4647908B">
            <w:pPr>
              <w:rPr>
                <w:color w:val="auto"/>
                <w:highlight w:val="none"/>
              </w:rPr>
            </w:pPr>
            <w:r>
              <w:rPr>
                <w:color w:val="auto"/>
                <w:highlight w:val="none"/>
                <w:lang w:val="en-US" w:eastAsia="zh-CN"/>
              </w:rPr>
              <w:t>维保过程中是否有被患者/职工/科室/医院投诉记录。</w:t>
            </w:r>
            <w:r>
              <w:rPr>
                <w:rFonts w:hint="eastAsia"/>
                <w:color w:val="auto"/>
                <w:highlight w:val="none"/>
                <w:lang w:val="en-US" w:eastAsia="zh-CN"/>
              </w:rPr>
              <w:t>每次扣2分。</w:t>
            </w:r>
            <w:r>
              <w:rPr>
                <w:color w:val="auto"/>
                <w:highlight w:val="none"/>
                <w:lang w:val="en-US" w:eastAsia="zh-CN"/>
              </w:rPr>
              <w:br w:type="textWrapping"/>
            </w:r>
            <w:r>
              <w:rPr>
                <w:color w:val="auto"/>
                <w:highlight w:val="none"/>
                <w:lang w:val="en-US" w:eastAsia="zh-CN"/>
              </w:rPr>
              <w:t>投诉次数：</w:t>
            </w:r>
            <w:r>
              <w:rPr>
                <w:color w:val="auto"/>
                <w:highlight w:val="none"/>
                <w:u w:val="single"/>
                <w:lang w:val="en-US" w:eastAsia="zh-CN"/>
              </w:rPr>
              <w:t xml:space="preserve">      </w:t>
            </w:r>
            <w:r>
              <w:rPr>
                <w:color w:val="auto"/>
                <w:highlight w:val="none"/>
                <w:lang w:val="en-US" w:eastAsia="zh-CN"/>
              </w:rPr>
              <w:t xml:space="preserve"> 次</w:t>
            </w:r>
          </w:p>
        </w:tc>
        <w:tc>
          <w:tcPr>
            <w:tcW w:w="1320" w:type="dxa"/>
            <w:tcBorders>
              <w:top w:val="single" w:color="000000" w:sz="4" w:space="0"/>
              <w:left w:val="single" w:color="000000" w:sz="4" w:space="0"/>
              <w:bottom w:val="single" w:color="000000" w:sz="4" w:space="0"/>
              <w:right w:val="single" w:color="000000" w:sz="4" w:space="0"/>
            </w:tcBorders>
            <w:noWrap w:val="0"/>
            <w:vAlign w:val="bottom"/>
          </w:tcPr>
          <w:p w14:paraId="7F7696C5">
            <w:pPr>
              <w:rPr>
                <w:rFonts w:hint="eastAsia"/>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0D58717C">
            <w:pPr>
              <w:rPr>
                <w:rFonts w:hint="default"/>
                <w:color w:val="auto"/>
                <w:highlight w:val="none"/>
              </w:rPr>
            </w:pPr>
          </w:p>
        </w:tc>
      </w:tr>
      <w:tr w14:paraId="0357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5" w:type="dxa"/>
            <w:vMerge w:val="restart"/>
            <w:tcBorders>
              <w:top w:val="single" w:color="000000" w:sz="4" w:space="0"/>
              <w:left w:val="single" w:color="000000" w:sz="4" w:space="0"/>
              <w:bottom w:val="nil"/>
              <w:right w:val="single" w:color="000000" w:sz="4" w:space="0"/>
            </w:tcBorders>
            <w:noWrap w:val="0"/>
            <w:vAlign w:val="center"/>
          </w:tcPr>
          <w:p w14:paraId="2A807306">
            <w:pPr>
              <w:jc w:val="center"/>
              <w:rPr>
                <w:rFonts w:hint="default"/>
                <w:color w:val="auto"/>
                <w:highlight w:val="none"/>
              </w:rPr>
            </w:pPr>
            <w:r>
              <w:rPr>
                <w:rFonts w:hint="eastAsia"/>
                <w:color w:val="auto"/>
                <w:highlight w:val="none"/>
                <w:lang w:val="en-US" w:eastAsia="zh-CN"/>
              </w:rPr>
              <w:t>6</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14:paraId="0CB967A1">
            <w:pPr>
              <w:rPr>
                <w:color w:val="auto"/>
                <w:highlight w:val="none"/>
              </w:rPr>
            </w:pPr>
            <w:r>
              <w:rPr>
                <w:color w:val="auto"/>
                <w:highlight w:val="none"/>
                <w:lang w:val="en-US" w:eastAsia="zh-CN"/>
              </w:rPr>
              <w:t>本</w:t>
            </w:r>
            <w:r>
              <w:rPr>
                <w:rFonts w:hint="eastAsia"/>
                <w:color w:val="auto"/>
                <w:highlight w:val="none"/>
                <w:lang w:val="en-US" w:eastAsia="zh-CN"/>
              </w:rPr>
              <w:t>月</w:t>
            </w:r>
            <w:r>
              <w:rPr>
                <w:color w:val="auto"/>
                <w:highlight w:val="none"/>
                <w:lang w:val="en-US" w:eastAsia="zh-CN"/>
              </w:rPr>
              <w:t>度维保服务质量考核结果</w:t>
            </w: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71448C99">
            <w:pPr>
              <w:rPr>
                <w:rFonts w:hint="default"/>
                <w:color w:val="auto"/>
                <w:highlight w:val="none"/>
              </w:rPr>
            </w:pPr>
          </w:p>
        </w:tc>
      </w:tr>
      <w:tr w14:paraId="3029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5" w:type="dxa"/>
            <w:vMerge w:val="continue"/>
            <w:tcBorders>
              <w:top w:val="single" w:color="000000" w:sz="4" w:space="0"/>
              <w:left w:val="single" w:color="000000" w:sz="4" w:space="0"/>
              <w:bottom w:val="nil"/>
              <w:right w:val="single" w:color="000000" w:sz="4" w:space="0"/>
            </w:tcBorders>
            <w:noWrap w:val="0"/>
            <w:vAlign w:val="center"/>
          </w:tcPr>
          <w:p w14:paraId="1E6D0AEE">
            <w:pPr>
              <w:jc w:val="center"/>
              <w:rPr>
                <w:rFonts w:hint="default"/>
                <w:color w:val="auto"/>
                <w:highlight w:val="none"/>
              </w:rPr>
            </w:pPr>
          </w:p>
        </w:tc>
        <w:tc>
          <w:tcPr>
            <w:tcW w:w="7865" w:type="dxa"/>
            <w:gridSpan w:val="4"/>
            <w:tcBorders>
              <w:top w:val="single" w:color="000000" w:sz="4" w:space="0"/>
              <w:left w:val="single" w:color="000000" w:sz="4" w:space="0"/>
              <w:bottom w:val="single" w:color="000000" w:sz="4" w:space="0"/>
              <w:right w:val="single" w:color="000000" w:sz="4" w:space="0"/>
            </w:tcBorders>
            <w:noWrap w:val="0"/>
            <w:vAlign w:val="center"/>
          </w:tcPr>
          <w:p w14:paraId="23A5ABD9">
            <w:pPr>
              <w:rPr>
                <w:color w:val="auto"/>
                <w:highlight w:val="none"/>
              </w:rPr>
            </w:pPr>
            <w:r>
              <w:rPr>
                <w:color w:val="auto"/>
                <w:highlight w:val="none"/>
                <w:lang w:val="en-US" w:eastAsia="zh-CN"/>
              </w:rPr>
              <w:t>考核人员签名：</w:t>
            </w:r>
          </w:p>
        </w:tc>
      </w:tr>
      <w:tr w14:paraId="4142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1A5CD783">
            <w:pPr>
              <w:jc w:val="center"/>
              <w:rPr>
                <w:rFonts w:hint="default"/>
                <w:color w:val="auto"/>
                <w:highlight w:val="none"/>
              </w:rPr>
            </w:pPr>
            <w:r>
              <w:rPr>
                <w:rFonts w:hint="eastAsia"/>
                <w:color w:val="auto"/>
                <w:highlight w:val="none"/>
                <w:lang w:val="en-US" w:eastAsia="zh-CN"/>
              </w:rPr>
              <w:t>7</w:t>
            </w:r>
          </w:p>
        </w:tc>
        <w:tc>
          <w:tcPr>
            <w:tcW w:w="7865" w:type="dxa"/>
            <w:gridSpan w:val="4"/>
            <w:tcBorders>
              <w:top w:val="single" w:color="000000" w:sz="4" w:space="0"/>
              <w:left w:val="nil"/>
              <w:bottom w:val="single" w:color="000000" w:sz="4" w:space="0"/>
              <w:right w:val="single" w:color="000000" w:sz="4" w:space="0"/>
            </w:tcBorders>
            <w:noWrap w:val="0"/>
            <w:vAlign w:val="center"/>
          </w:tcPr>
          <w:p w14:paraId="54E15ECA">
            <w:pPr>
              <w:rPr>
                <w:color w:val="auto"/>
                <w:highlight w:val="none"/>
              </w:rPr>
            </w:pPr>
            <w:r>
              <w:rPr>
                <w:color w:val="auto"/>
                <w:highlight w:val="none"/>
                <w:lang w:val="en-US" w:eastAsia="zh-CN"/>
              </w:rPr>
              <w:t>备注：满分为100分。说明：服务综合评价结果</w:t>
            </w:r>
            <w:r>
              <w:rPr>
                <w:color w:val="auto"/>
                <w:highlight w:val="none"/>
                <w:lang w:val="en-US" w:eastAsia="zh-CN"/>
              </w:rPr>
              <w:br w:type="textWrapping"/>
            </w:r>
            <w:r>
              <w:rPr>
                <w:color w:val="auto"/>
                <w:highlight w:val="none"/>
                <w:lang w:val="en-US" w:eastAsia="zh-CN"/>
              </w:rPr>
              <w:t>□ 优秀 （90分以上，含90分）</w:t>
            </w:r>
            <w:r>
              <w:rPr>
                <w:color w:val="auto"/>
                <w:highlight w:val="none"/>
                <w:lang w:val="en-US" w:eastAsia="zh-CN"/>
              </w:rPr>
              <w:br w:type="textWrapping"/>
            </w:r>
            <w:r>
              <w:rPr>
                <w:color w:val="auto"/>
                <w:highlight w:val="none"/>
                <w:lang w:val="en-US" w:eastAsia="zh-CN"/>
              </w:rPr>
              <w:t>□ 良好 （85～90分，含85分）</w:t>
            </w:r>
            <w:r>
              <w:rPr>
                <w:color w:val="auto"/>
                <w:highlight w:val="none"/>
                <w:lang w:val="en-US" w:eastAsia="zh-CN"/>
              </w:rPr>
              <w:br w:type="textWrapping"/>
            </w:r>
            <w:r>
              <w:rPr>
                <w:color w:val="auto"/>
                <w:highlight w:val="none"/>
                <w:lang w:val="en-US" w:eastAsia="zh-CN"/>
              </w:rPr>
              <w:t>□ 一般 （80～85分，含80分）</w:t>
            </w:r>
            <w:r>
              <w:rPr>
                <w:color w:val="auto"/>
                <w:highlight w:val="none"/>
                <w:lang w:val="en-US" w:eastAsia="zh-CN"/>
              </w:rPr>
              <w:br w:type="textWrapping"/>
            </w:r>
            <w:r>
              <w:rPr>
                <w:color w:val="auto"/>
                <w:highlight w:val="none"/>
                <w:lang w:val="en-US" w:eastAsia="zh-CN"/>
              </w:rPr>
              <w:t>□ 不合格（80分以下）（扣服务费=年度服务总费×（</w:t>
            </w:r>
            <w:r>
              <w:rPr>
                <w:rFonts w:hint="eastAsia"/>
                <w:color w:val="auto"/>
                <w:highlight w:val="none"/>
                <w:lang w:val="en-US" w:eastAsia="zh-CN"/>
              </w:rPr>
              <w:t>10</w:t>
            </w:r>
            <w:r>
              <w:rPr>
                <w:color w:val="auto"/>
                <w:highlight w:val="none"/>
                <w:lang w:val="en-US" w:eastAsia="zh-CN"/>
              </w:rPr>
              <w:t>0-</w:t>
            </w:r>
            <w:r>
              <w:rPr>
                <w:rFonts w:hint="eastAsia"/>
                <w:color w:val="auto"/>
                <w:highlight w:val="none"/>
                <w:lang w:val="en-US" w:eastAsia="zh-CN"/>
              </w:rPr>
              <w:t>月</w:t>
            </w:r>
            <w:r>
              <w:rPr>
                <w:color w:val="auto"/>
                <w:highlight w:val="none"/>
                <w:lang w:val="en-US" w:eastAsia="zh-CN"/>
              </w:rPr>
              <w:t>度考核分值）%</w:t>
            </w:r>
            <w:r>
              <w:rPr>
                <w:color w:val="auto"/>
                <w:highlight w:val="none"/>
                <w:lang w:val="en-US" w:eastAsia="zh-CN"/>
              </w:rPr>
              <w:br w:type="textWrapping"/>
            </w:r>
            <w:r>
              <w:rPr>
                <w:color w:val="auto"/>
                <w:highlight w:val="none"/>
                <w:lang w:val="en-US" w:eastAsia="zh-CN"/>
              </w:rPr>
              <w:t>如有重大工作失误或违约行为，院方有权扣除全部服务费，但并不排除按合同条款作出相应处理。</w:t>
            </w:r>
          </w:p>
        </w:tc>
      </w:tr>
    </w:tbl>
    <w:p w14:paraId="15CE8E46">
      <w:pPr>
        <w:sectPr>
          <w:pgSz w:w="11906" w:h="16838"/>
          <w:pgMar w:top="1440" w:right="1800" w:bottom="1440" w:left="1800" w:header="851" w:footer="992" w:gutter="0"/>
          <w:pgNumType w:fmt="decimal"/>
          <w:cols w:space="720" w:num="1"/>
          <w:docGrid w:type="lines" w:linePitch="312" w:charSpace="0"/>
        </w:sectPr>
      </w:pPr>
    </w:p>
    <w:p w14:paraId="69443064">
      <w:pPr>
        <w:adjustRightInd w:val="0"/>
        <w:snapToGrid w:val="0"/>
        <w:spacing w:line="480" w:lineRule="auto"/>
        <w:rPr>
          <w:rFonts w:hint="eastAsia" w:eastAsia="宋体"/>
          <w:b/>
          <w:color w:val="auto"/>
          <w:szCs w:val="21"/>
          <w:highlight w:val="none"/>
          <w:lang w:val="en-US" w:eastAsia="zh-CN"/>
        </w:rPr>
      </w:pPr>
      <w:r>
        <w:rPr>
          <w:rFonts w:hint="eastAsia"/>
          <w:b/>
          <w:color w:val="auto"/>
          <w:szCs w:val="21"/>
          <w:highlight w:val="none"/>
        </w:rPr>
        <w:t>附件</w:t>
      </w:r>
      <w:r>
        <w:rPr>
          <w:rFonts w:hint="eastAsia"/>
          <w:b/>
          <w:color w:val="auto"/>
          <w:szCs w:val="21"/>
          <w:highlight w:val="none"/>
          <w:lang w:val="en-US" w:eastAsia="zh-CN"/>
        </w:rPr>
        <w:t>2</w:t>
      </w:r>
    </w:p>
    <w:p w14:paraId="105804C5">
      <w:pPr>
        <w:spacing w:line="36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消防维保服务</w:t>
      </w:r>
      <w:r>
        <w:rPr>
          <w:rFonts w:hint="eastAsia" w:ascii="宋体" w:hAnsi="宋体"/>
          <w:b/>
          <w:color w:val="auto"/>
          <w:sz w:val="28"/>
          <w:szCs w:val="28"/>
          <w:highlight w:val="none"/>
          <w:lang w:eastAsia="zh-CN"/>
        </w:rPr>
        <w:t>年度</w:t>
      </w:r>
      <w:r>
        <w:rPr>
          <w:rFonts w:hint="eastAsia" w:ascii="宋体" w:hAnsi="宋体"/>
          <w:b/>
          <w:color w:val="auto"/>
          <w:sz w:val="28"/>
          <w:szCs w:val="28"/>
          <w:highlight w:val="none"/>
        </w:rPr>
        <w:t>考核</w:t>
      </w:r>
      <w:r>
        <w:rPr>
          <w:rFonts w:hint="eastAsia" w:ascii="宋体" w:hAnsi="宋体"/>
          <w:b/>
          <w:color w:val="auto"/>
          <w:sz w:val="28"/>
          <w:szCs w:val="28"/>
          <w:highlight w:val="none"/>
          <w:lang w:eastAsia="zh-CN"/>
        </w:rPr>
        <w:t>评价</w:t>
      </w:r>
    </w:p>
    <w:p w14:paraId="22B663F0">
      <w:pPr>
        <w:ind w:firstLine="4830"/>
        <w:rPr>
          <w:rFonts w:ascii="宋体" w:hAnsi="宋体"/>
          <w:color w:val="auto"/>
          <w:szCs w:val="21"/>
          <w:highlight w:val="none"/>
        </w:rPr>
      </w:pPr>
    </w:p>
    <w:tbl>
      <w:tblPr>
        <w:tblStyle w:val="7"/>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
        <w:gridCol w:w="982"/>
        <w:gridCol w:w="1268"/>
        <w:gridCol w:w="3709"/>
        <w:gridCol w:w="2130"/>
      </w:tblGrid>
      <w:tr w14:paraId="25A2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70" w:type="dxa"/>
            <w:gridSpan w:val="5"/>
            <w:tcBorders>
              <w:top w:val="nil"/>
              <w:left w:val="nil"/>
              <w:bottom w:val="single" w:color="auto" w:sz="4" w:space="0"/>
              <w:right w:val="nil"/>
            </w:tcBorders>
            <w:noWrap w:val="0"/>
            <w:vAlign w:val="center"/>
          </w:tcPr>
          <w:p w14:paraId="75CE36CB">
            <w:pPr>
              <w:jc w:val="center"/>
              <w:rPr>
                <w:rFonts w:hint="eastAsia"/>
                <w:color w:val="auto"/>
                <w:highlight w:val="none"/>
              </w:rPr>
            </w:pPr>
            <w:r>
              <w:rPr>
                <w:rFonts w:hint="eastAsia"/>
                <w:color w:val="auto"/>
                <w:sz w:val="28"/>
                <w:szCs w:val="36"/>
                <w:highlight w:val="none"/>
                <w:lang w:val="en-US" w:eastAsia="zh-CN"/>
              </w:rPr>
              <w:t>消防维保服务考核表</w:t>
            </w:r>
          </w:p>
        </w:tc>
      </w:tr>
      <w:tr w14:paraId="7B46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70" w:type="dxa"/>
            <w:gridSpan w:val="5"/>
            <w:tcBorders>
              <w:top w:val="single" w:color="auto" w:sz="4" w:space="0"/>
              <w:left w:val="single" w:color="auto" w:sz="4" w:space="0"/>
              <w:bottom w:val="single" w:color="auto" w:sz="4" w:space="0"/>
              <w:right w:val="single" w:color="auto" w:sz="4" w:space="0"/>
            </w:tcBorders>
            <w:noWrap w:val="0"/>
            <w:vAlign w:val="center"/>
          </w:tcPr>
          <w:p w14:paraId="48D20C8E">
            <w:pPr>
              <w:rPr>
                <w:rFonts w:hint="eastAsia"/>
                <w:color w:val="auto"/>
                <w:highlight w:val="none"/>
              </w:rPr>
            </w:pPr>
            <w:r>
              <w:rPr>
                <w:rFonts w:hint="eastAsia"/>
                <w:color w:val="auto"/>
                <w:highlight w:val="none"/>
                <w:lang w:val="en-US" w:eastAsia="zh-CN"/>
              </w:rPr>
              <w:t>考核单位：                   被考核公司：               考核时间：</w:t>
            </w:r>
          </w:p>
        </w:tc>
      </w:tr>
      <w:tr w14:paraId="7C5A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2D23D6B5">
            <w:pPr>
              <w:rPr>
                <w:color w:val="auto"/>
                <w:highlight w:val="none"/>
              </w:rPr>
            </w:pPr>
            <w:r>
              <w:rPr>
                <w:rFonts w:hint="default"/>
                <w:color w:val="auto"/>
                <w:highlight w:val="none"/>
                <w:lang w:val="en-US" w:eastAsia="zh-CN"/>
              </w:rPr>
              <w:t>序号</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0076B86">
            <w:pPr>
              <w:jc w:val="center"/>
              <w:rPr>
                <w:rFonts w:hint="default"/>
                <w:color w:val="auto"/>
                <w:highlight w:val="none"/>
              </w:rPr>
            </w:pPr>
            <w:r>
              <w:rPr>
                <w:rFonts w:hint="eastAsia"/>
                <w:color w:val="auto"/>
                <w:highlight w:val="none"/>
                <w:lang w:val="en-US" w:eastAsia="zh-CN"/>
              </w:rPr>
              <w:t>考核人</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494771B3">
            <w:pPr>
              <w:jc w:val="center"/>
              <w:rPr>
                <w:rFonts w:hint="default"/>
                <w:color w:val="auto"/>
                <w:highlight w:val="none"/>
              </w:rPr>
            </w:pPr>
            <w:r>
              <w:rPr>
                <w:rFonts w:hint="eastAsia"/>
                <w:color w:val="auto"/>
                <w:highlight w:val="none"/>
                <w:lang w:val="en-US" w:eastAsia="zh-CN"/>
              </w:rPr>
              <w:t>考核部门</w:t>
            </w:r>
          </w:p>
        </w:tc>
        <w:tc>
          <w:tcPr>
            <w:tcW w:w="3709" w:type="dxa"/>
            <w:tcBorders>
              <w:top w:val="single" w:color="auto" w:sz="4" w:space="0"/>
              <w:left w:val="single" w:color="auto" w:sz="4" w:space="0"/>
              <w:bottom w:val="single" w:color="auto" w:sz="4" w:space="0"/>
              <w:right w:val="single" w:color="auto" w:sz="4" w:space="0"/>
            </w:tcBorders>
            <w:noWrap w:val="0"/>
            <w:vAlign w:val="center"/>
          </w:tcPr>
          <w:p w14:paraId="7D9C537D">
            <w:pPr>
              <w:jc w:val="center"/>
              <w:rPr>
                <w:rFonts w:hint="eastAsia" w:eastAsia="宋体"/>
                <w:color w:val="auto"/>
                <w:highlight w:val="none"/>
                <w:lang w:eastAsia="zh-CN"/>
              </w:rPr>
            </w:pPr>
            <w:r>
              <w:rPr>
                <w:rFonts w:hint="eastAsia"/>
                <w:color w:val="auto"/>
                <w:highlight w:val="none"/>
                <w:lang w:val="en-US" w:eastAsia="zh-CN"/>
              </w:rPr>
              <w:t>考核成绩</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72AB806C">
            <w:pPr>
              <w:jc w:val="center"/>
              <w:rPr>
                <w:rFonts w:hint="default"/>
                <w:color w:val="auto"/>
                <w:highlight w:val="none"/>
              </w:rPr>
            </w:pPr>
            <w:r>
              <w:rPr>
                <w:rFonts w:hint="default"/>
                <w:color w:val="auto"/>
                <w:highlight w:val="none"/>
                <w:lang w:val="en-US" w:eastAsia="zh-CN"/>
              </w:rPr>
              <w:t>备注</w:t>
            </w:r>
          </w:p>
        </w:tc>
      </w:tr>
      <w:tr w14:paraId="0960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481" w:type="dxa"/>
            <w:tcBorders>
              <w:top w:val="single" w:color="auto" w:sz="4" w:space="0"/>
              <w:left w:val="single" w:color="000000" w:sz="4" w:space="0"/>
              <w:bottom w:val="single" w:color="auto" w:sz="4" w:space="0"/>
              <w:right w:val="single" w:color="000000" w:sz="4" w:space="0"/>
            </w:tcBorders>
            <w:noWrap w:val="0"/>
            <w:vAlign w:val="center"/>
          </w:tcPr>
          <w:p w14:paraId="5687A137">
            <w:pPr>
              <w:jc w:val="center"/>
              <w:rPr>
                <w:rFonts w:hint="default"/>
                <w:color w:val="auto"/>
                <w:highlight w:val="none"/>
              </w:rPr>
            </w:pPr>
            <w:r>
              <w:rPr>
                <w:rFonts w:hint="default"/>
                <w:color w:val="auto"/>
                <w:highlight w:val="none"/>
                <w:lang w:val="en-US" w:eastAsia="zh-CN"/>
              </w:rPr>
              <w:t>1</w:t>
            </w:r>
          </w:p>
        </w:tc>
        <w:tc>
          <w:tcPr>
            <w:tcW w:w="982" w:type="dxa"/>
            <w:tcBorders>
              <w:top w:val="single" w:color="auto" w:sz="4" w:space="0"/>
              <w:left w:val="single" w:color="000000" w:sz="4" w:space="0"/>
              <w:bottom w:val="single" w:color="auto" w:sz="4" w:space="0"/>
              <w:right w:val="single" w:color="000000" w:sz="4" w:space="0"/>
            </w:tcBorders>
            <w:noWrap w:val="0"/>
            <w:vAlign w:val="center"/>
          </w:tcPr>
          <w:p w14:paraId="5859148F">
            <w:pPr>
              <w:rPr>
                <w:rFonts w:hint="default"/>
                <w:color w:val="auto"/>
                <w:highlight w:val="none"/>
              </w:rPr>
            </w:pPr>
          </w:p>
        </w:tc>
        <w:tc>
          <w:tcPr>
            <w:tcW w:w="1268" w:type="dxa"/>
            <w:tcBorders>
              <w:top w:val="single" w:color="auto" w:sz="4" w:space="0"/>
              <w:left w:val="single" w:color="000000" w:sz="4" w:space="0"/>
              <w:bottom w:val="single" w:color="auto" w:sz="4" w:space="0"/>
              <w:right w:val="single" w:color="auto" w:sz="4" w:space="0"/>
            </w:tcBorders>
            <w:noWrap w:val="0"/>
            <w:vAlign w:val="center"/>
          </w:tcPr>
          <w:p w14:paraId="535F49FA">
            <w:pPr>
              <w:rPr>
                <w:color w:val="auto"/>
                <w:highlight w:val="none"/>
              </w:rPr>
            </w:pPr>
          </w:p>
        </w:tc>
        <w:tc>
          <w:tcPr>
            <w:tcW w:w="3709" w:type="dxa"/>
            <w:tcBorders>
              <w:top w:val="single" w:color="auto" w:sz="4" w:space="0"/>
              <w:left w:val="single" w:color="auto" w:sz="4" w:space="0"/>
              <w:bottom w:val="single" w:color="auto" w:sz="4" w:space="0"/>
              <w:right w:val="single" w:color="000000" w:sz="4" w:space="0"/>
            </w:tcBorders>
            <w:noWrap w:val="0"/>
            <w:vAlign w:val="center"/>
          </w:tcPr>
          <w:p w14:paraId="283F670E">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auto" w:sz="4" w:space="0"/>
              <w:right w:val="single" w:color="000000" w:sz="4" w:space="0"/>
            </w:tcBorders>
            <w:noWrap w:val="0"/>
            <w:vAlign w:val="top"/>
          </w:tcPr>
          <w:p w14:paraId="79E11823">
            <w:pPr>
              <w:rPr>
                <w:rFonts w:hint="default"/>
                <w:color w:val="auto"/>
                <w:highlight w:val="none"/>
              </w:rPr>
            </w:pPr>
          </w:p>
        </w:tc>
      </w:tr>
      <w:tr w14:paraId="1489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481" w:type="dxa"/>
            <w:tcBorders>
              <w:top w:val="single" w:color="auto" w:sz="4" w:space="0"/>
              <w:left w:val="single" w:color="000000" w:sz="4" w:space="0"/>
              <w:bottom w:val="single" w:color="000000" w:sz="4" w:space="0"/>
              <w:right w:val="single" w:color="000000" w:sz="4" w:space="0"/>
            </w:tcBorders>
            <w:noWrap w:val="0"/>
            <w:vAlign w:val="center"/>
          </w:tcPr>
          <w:p w14:paraId="78E35D1C">
            <w:pPr>
              <w:jc w:val="center"/>
              <w:rPr>
                <w:rFonts w:hint="default"/>
                <w:color w:val="auto"/>
                <w:highlight w:val="none"/>
                <w:lang w:val="en-US" w:eastAsia="zh-CN"/>
              </w:rPr>
            </w:pPr>
            <w:r>
              <w:rPr>
                <w:rFonts w:hint="eastAsia"/>
                <w:color w:val="auto"/>
                <w:highlight w:val="none"/>
                <w:lang w:val="en-US" w:eastAsia="zh-CN"/>
              </w:rPr>
              <w:t>2</w:t>
            </w:r>
          </w:p>
        </w:tc>
        <w:tc>
          <w:tcPr>
            <w:tcW w:w="982" w:type="dxa"/>
            <w:tcBorders>
              <w:top w:val="single" w:color="auto" w:sz="4" w:space="0"/>
              <w:left w:val="single" w:color="000000" w:sz="4" w:space="0"/>
              <w:bottom w:val="single" w:color="000000" w:sz="4" w:space="0"/>
              <w:right w:val="single" w:color="000000" w:sz="4" w:space="0"/>
            </w:tcBorders>
            <w:noWrap w:val="0"/>
            <w:vAlign w:val="center"/>
          </w:tcPr>
          <w:p w14:paraId="6DD65C3E">
            <w:pPr>
              <w:rPr>
                <w:rFonts w:hint="default"/>
                <w:color w:val="auto"/>
                <w:highlight w:val="none"/>
              </w:rPr>
            </w:pPr>
          </w:p>
        </w:tc>
        <w:tc>
          <w:tcPr>
            <w:tcW w:w="1268" w:type="dxa"/>
            <w:tcBorders>
              <w:top w:val="single" w:color="auto" w:sz="4" w:space="0"/>
              <w:left w:val="single" w:color="000000" w:sz="4" w:space="0"/>
              <w:bottom w:val="single" w:color="000000" w:sz="4" w:space="0"/>
              <w:right w:val="single" w:color="auto" w:sz="4" w:space="0"/>
            </w:tcBorders>
            <w:noWrap w:val="0"/>
            <w:vAlign w:val="center"/>
          </w:tcPr>
          <w:p w14:paraId="35757CB3">
            <w:pPr>
              <w:rPr>
                <w:color w:val="auto"/>
                <w:highlight w:val="none"/>
              </w:rPr>
            </w:pPr>
          </w:p>
        </w:tc>
        <w:tc>
          <w:tcPr>
            <w:tcW w:w="3709" w:type="dxa"/>
            <w:tcBorders>
              <w:top w:val="single" w:color="auto" w:sz="4" w:space="0"/>
              <w:left w:val="single" w:color="auto" w:sz="4" w:space="0"/>
              <w:bottom w:val="single" w:color="000000" w:sz="4" w:space="0"/>
              <w:right w:val="single" w:color="000000" w:sz="4" w:space="0"/>
            </w:tcBorders>
            <w:noWrap w:val="0"/>
            <w:vAlign w:val="center"/>
          </w:tcPr>
          <w:p w14:paraId="2EA03414">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000000" w:sz="4" w:space="0"/>
              <w:right w:val="single" w:color="000000" w:sz="4" w:space="0"/>
            </w:tcBorders>
            <w:noWrap w:val="0"/>
            <w:vAlign w:val="top"/>
          </w:tcPr>
          <w:p w14:paraId="6AE72333">
            <w:pPr>
              <w:rPr>
                <w:rFonts w:hint="default"/>
                <w:color w:val="auto"/>
                <w:highlight w:val="none"/>
              </w:rPr>
            </w:pPr>
          </w:p>
        </w:tc>
      </w:tr>
      <w:tr w14:paraId="4F2E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481" w:type="dxa"/>
            <w:tcBorders>
              <w:top w:val="single" w:color="000000" w:sz="4" w:space="0"/>
              <w:left w:val="single" w:color="000000" w:sz="4" w:space="0"/>
              <w:bottom w:val="single" w:color="auto" w:sz="4" w:space="0"/>
              <w:right w:val="single" w:color="000000" w:sz="4" w:space="0"/>
            </w:tcBorders>
            <w:noWrap w:val="0"/>
            <w:vAlign w:val="center"/>
          </w:tcPr>
          <w:p w14:paraId="68EA8245">
            <w:pPr>
              <w:jc w:val="center"/>
              <w:rPr>
                <w:color w:val="auto"/>
                <w:highlight w:val="none"/>
              </w:rPr>
            </w:pPr>
            <w:r>
              <w:rPr>
                <w:rFonts w:hint="eastAsia"/>
                <w:color w:val="auto"/>
                <w:highlight w:val="none"/>
                <w:lang w:val="en-US" w:eastAsia="zh-CN"/>
              </w:rPr>
              <w:t>3</w:t>
            </w:r>
          </w:p>
        </w:tc>
        <w:tc>
          <w:tcPr>
            <w:tcW w:w="982" w:type="dxa"/>
            <w:tcBorders>
              <w:top w:val="nil"/>
              <w:left w:val="single" w:color="000000" w:sz="4" w:space="0"/>
              <w:bottom w:val="single" w:color="auto" w:sz="4" w:space="0"/>
              <w:right w:val="single" w:color="000000" w:sz="4" w:space="0"/>
            </w:tcBorders>
            <w:noWrap w:val="0"/>
            <w:vAlign w:val="center"/>
          </w:tcPr>
          <w:p w14:paraId="4DF3FAE4">
            <w:pPr>
              <w:rPr>
                <w:rFonts w:hint="default"/>
                <w:color w:val="auto"/>
                <w:highlight w:val="none"/>
              </w:rPr>
            </w:pPr>
          </w:p>
        </w:tc>
        <w:tc>
          <w:tcPr>
            <w:tcW w:w="1268" w:type="dxa"/>
            <w:tcBorders>
              <w:top w:val="single" w:color="000000" w:sz="4" w:space="0"/>
              <w:left w:val="single" w:color="000000" w:sz="4" w:space="0"/>
              <w:bottom w:val="single" w:color="auto" w:sz="4" w:space="0"/>
              <w:right w:val="single" w:color="auto" w:sz="4" w:space="0"/>
            </w:tcBorders>
            <w:noWrap w:val="0"/>
            <w:vAlign w:val="center"/>
          </w:tcPr>
          <w:p w14:paraId="3C97AEE3">
            <w:pPr>
              <w:rPr>
                <w:color w:val="auto"/>
                <w:highlight w:val="none"/>
              </w:rPr>
            </w:pPr>
          </w:p>
        </w:tc>
        <w:tc>
          <w:tcPr>
            <w:tcW w:w="3709" w:type="dxa"/>
            <w:tcBorders>
              <w:top w:val="single" w:color="000000" w:sz="4" w:space="0"/>
              <w:left w:val="single" w:color="auto" w:sz="4" w:space="0"/>
              <w:bottom w:val="single" w:color="auto" w:sz="4" w:space="0"/>
              <w:right w:val="single" w:color="000000" w:sz="4" w:space="0"/>
            </w:tcBorders>
            <w:noWrap w:val="0"/>
            <w:vAlign w:val="center"/>
          </w:tcPr>
          <w:p w14:paraId="78ED2AF9">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000000" w:sz="4" w:space="0"/>
              <w:left w:val="single" w:color="000000" w:sz="4" w:space="0"/>
              <w:bottom w:val="single" w:color="auto" w:sz="4" w:space="0"/>
              <w:right w:val="single" w:color="000000" w:sz="4" w:space="0"/>
            </w:tcBorders>
            <w:noWrap w:val="0"/>
            <w:vAlign w:val="top"/>
          </w:tcPr>
          <w:p w14:paraId="6F5FDB15">
            <w:pPr>
              <w:rPr>
                <w:rFonts w:hint="default"/>
                <w:color w:val="auto"/>
                <w:highlight w:val="none"/>
              </w:rPr>
            </w:pPr>
          </w:p>
        </w:tc>
      </w:tr>
      <w:tr w14:paraId="77F4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481" w:type="dxa"/>
            <w:tcBorders>
              <w:top w:val="single" w:color="auto" w:sz="4" w:space="0"/>
              <w:left w:val="single" w:color="000000" w:sz="4" w:space="0"/>
              <w:bottom w:val="single" w:color="auto" w:sz="4" w:space="0"/>
              <w:right w:val="single" w:color="000000" w:sz="4" w:space="0"/>
            </w:tcBorders>
            <w:noWrap w:val="0"/>
            <w:vAlign w:val="center"/>
          </w:tcPr>
          <w:p w14:paraId="2A75FD7B">
            <w:pPr>
              <w:jc w:val="center"/>
              <w:rPr>
                <w:rFonts w:hint="default"/>
                <w:color w:val="auto"/>
                <w:highlight w:val="none"/>
                <w:lang w:val="en-US" w:eastAsia="zh-CN"/>
              </w:rPr>
            </w:pPr>
            <w:r>
              <w:rPr>
                <w:rFonts w:hint="eastAsia"/>
                <w:color w:val="auto"/>
                <w:highlight w:val="none"/>
                <w:lang w:val="en-US" w:eastAsia="zh-CN"/>
              </w:rPr>
              <w:t>4</w:t>
            </w:r>
          </w:p>
        </w:tc>
        <w:tc>
          <w:tcPr>
            <w:tcW w:w="982" w:type="dxa"/>
            <w:tcBorders>
              <w:top w:val="single" w:color="auto" w:sz="4" w:space="0"/>
              <w:left w:val="single" w:color="000000" w:sz="4" w:space="0"/>
              <w:bottom w:val="single" w:color="auto" w:sz="4" w:space="0"/>
              <w:right w:val="single" w:color="000000" w:sz="4" w:space="0"/>
            </w:tcBorders>
            <w:noWrap w:val="0"/>
            <w:vAlign w:val="center"/>
          </w:tcPr>
          <w:p w14:paraId="206B72F8">
            <w:pPr>
              <w:rPr>
                <w:rFonts w:hint="default"/>
                <w:color w:val="auto"/>
                <w:highlight w:val="none"/>
              </w:rPr>
            </w:pPr>
          </w:p>
        </w:tc>
        <w:tc>
          <w:tcPr>
            <w:tcW w:w="1268" w:type="dxa"/>
            <w:tcBorders>
              <w:top w:val="single" w:color="auto" w:sz="4" w:space="0"/>
              <w:left w:val="single" w:color="000000" w:sz="4" w:space="0"/>
              <w:bottom w:val="single" w:color="auto" w:sz="4" w:space="0"/>
              <w:right w:val="single" w:color="auto" w:sz="4" w:space="0"/>
            </w:tcBorders>
            <w:noWrap w:val="0"/>
            <w:vAlign w:val="center"/>
          </w:tcPr>
          <w:p w14:paraId="194C01FC">
            <w:pPr>
              <w:rPr>
                <w:color w:val="auto"/>
                <w:highlight w:val="none"/>
              </w:rPr>
            </w:pPr>
          </w:p>
        </w:tc>
        <w:tc>
          <w:tcPr>
            <w:tcW w:w="3709" w:type="dxa"/>
            <w:tcBorders>
              <w:top w:val="single" w:color="auto" w:sz="4" w:space="0"/>
              <w:left w:val="single" w:color="auto" w:sz="4" w:space="0"/>
              <w:bottom w:val="single" w:color="auto" w:sz="4" w:space="0"/>
              <w:right w:val="single" w:color="000000" w:sz="4" w:space="0"/>
            </w:tcBorders>
            <w:noWrap w:val="0"/>
            <w:vAlign w:val="center"/>
          </w:tcPr>
          <w:p w14:paraId="527EE792">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auto" w:sz="4" w:space="0"/>
              <w:right w:val="single" w:color="000000" w:sz="4" w:space="0"/>
            </w:tcBorders>
            <w:noWrap w:val="0"/>
            <w:vAlign w:val="top"/>
          </w:tcPr>
          <w:p w14:paraId="75F9F608">
            <w:pPr>
              <w:rPr>
                <w:rFonts w:hint="default"/>
                <w:color w:val="auto"/>
                <w:highlight w:val="none"/>
              </w:rPr>
            </w:pPr>
          </w:p>
        </w:tc>
      </w:tr>
      <w:tr w14:paraId="39812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81" w:type="dxa"/>
            <w:tcBorders>
              <w:top w:val="single" w:color="auto" w:sz="4" w:space="0"/>
              <w:left w:val="single" w:color="000000" w:sz="4" w:space="0"/>
              <w:bottom w:val="single" w:color="auto" w:sz="4" w:space="0"/>
              <w:right w:val="single" w:color="000000" w:sz="4" w:space="0"/>
            </w:tcBorders>
            <w:noWrap w:val="0"/>
            <w:vAlign w:val="center"/>
          </w:tcPr>
          <w:p w14:paraId="03931512">
            <w:pPr>
              <w:jc w:val="center"/>
              <w:rPr>
                <w:rFonts w:hint="default"/>
                <w:color w:val="auto"/>
                <w:highlight w:val="none"/>
                <w:lang w:val="en-US" w:eastAsia="zh-CN"/>
              </w:rPr>
            </w:pPr>
            <w:r>
              <w:rPr>
                <w:rFonts w:hint="eastAsia"/>
                <w:color w:val="auto"/>
                <w:highlight w:val="none"/>
                <w:lang w:val="en-US" w:eastAsia="zh-CN"/>
              </w:rPr>
              <w:t>5</w:t>
            </w:r>
          </w:p>
        </w:tc>
        <w:tc>
          <w:tcPr>
            <w:tcW w:w="982" w:type="dxa"/>
            <w:tcBorders>
              <w:top w:val="single" w:color="auto" w:sz="4" w:space="0"/>
              <w:left w:val="single" w:color="000000" w:sz="4" w:space="0"/>
              <w:bottom w:val="single" w:color="auto" w:sz="4" w:space="0"/>
              <w:right w:val="single" w:color="000000" w:sz="4" w:space="0"/>
            </w:tcBorders>
            <w:noWrap w:val="0"/>
            <w:vAlign w:val="center"/>
          </w:tcPr>
          <w:p w14:paraId="77103D05">
            <w:pPr>
              <w:rPr>
                <w:rFonts w:hint="default"/>
                <w:color w:val="auto"/>
                <w:highlight w:val="none"/>
              </w:rPr>
            </w:pPr>
          </w:p>
        </w:tc>
        <w:tc>
          <w:tcPr>
            <w:tcW w:w="1268" w:type="dxa"/>
            <w:tcBorders>
              <w:top w:val="single" w:color="auto" w:sz="4" w:space="0"/>
              <w:left w:val="single" w:color="000000" w:sz="4" w:space="0"/>
              <w:bottom w:val="single" w:color="auto" w:sz="4" w:space="0"/>
              <w:right w:val="single" w:color="auto" w:sz="4" w:space="0"/>
            </w:tcBorders>
            <w:noWrap w:val="0"/>
            <w:vAlign w:val="center"/>
          </w:tcPr>
          <w:p w14:paraId="1FD46C69">
            <w:pPr>
              <w:rPr>
                <w:color w:val="auto"/>
                <w:highlight w:val="none"/>
              </w:rPr>
            </w:pPr>
          </w:p>
        </w:tc>
        <w:tc>
          <w:tcPr>
            <w:tcW w:w="3709" w:type="dxa"/>
            <w:tcBorders>
              <w:top w:val="single" w:color="auto" w:sz="4" w:space="0"/>
              <w:left w:val="single" w:color="auto" w:sz="4" w:space="0"/>
              <w:bottom w:val="single" w:color="auto" w:sz="4" w:space="0"/>
              <w:right w:val="single" w:color="000000" w:sz="4" w:space="0"/>
            </w:tcBorders>
            <w:noWrap w:val="0"/>
            <w:vAlign w:val="center"/>
          </w:tcPr>
          <w:p w14:paraId="3A58D4F1">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auto" w:sz="4" w:space="0"/>
              <w:right w:val="single" w:color="000000" w:sz="4" w:space="0"/>
            </w:tcBorders>
            <w:noWrap w:val="0"/>
            <w:vAlign w:val="top"/>
          </w:tcPr>
          <w:p w14:paraId="64972B30">
            <w:pPr>
              <w:rPr>
                <w:rFonts w:hint="default"/>
                <w:color w:val="auto"/>
                <w:highlight w:val="none"/>
              </w:rPr>
            </w:pPr>
          </w:p>
        </w:tc>
      </w:tr>
      <w:tr w14:paraId="2F77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1" w:type="dxa"/>
            <w:tcBorders>
              <w:top w:val="single" w:color="auto" w:sz="4" w:space="0"/>
              <w:left w:val="single" w:color="000000" w:sz="4" w:space="0"/>
              <w:bottom w:val="single" w:color="auto" w:sz="4" w:space="0"/>
              <w:right w:val="single" w:color="000000" w:sz="4" w:space="0"/>
            </w:tcBorders>
            <w:noWrap w:val="0"/>
            <w:vAlign w:val="center"/>
          </w:tcPr>
          <w:p w14:paraId="56FFB112">
            <w:pPr>
              <w:jc w:val="center"/>
              <w:rPr>
                <w:rFonts w:hint="default"/>
                <w:color w:val="auto"/>
                <w:highlight w:val="none"/>
                <w:lang w:val="en-US" w:eastAsia="zh-CN"/>
              </w:rPr>
            </w:pPr>
            <w:r>
              <w:rPr>
                <w:rFonts w:hint="eastAsia"/>
                <w:color w:val="auto"/>
                <w:highlight w:val="none"/>
                <w:lang w:val="en-US" w:eastAsia="zh-CN"/>
              </w:rPr>
              <w:t>6</w:t>
            </w:r>
          </w:p>
        </w:tc>
        <w:tc>
          <w:tcPr>
            <w:tcW w:w="982" w:type="dxa"/>
            <w:tcBorders>
              <w:top w:val="single" w:color="auto" w:sz="4" w:space="0"/>
              <w:left w:val="single" w:color="000000" w:sz="4" w:space="0"/>
              <w:bottom w:val="single" w:color="auto" w:sz="4" w:space="0"/>
              <w:right w:val="single" w:color="000000" w:sz="4" w:space="0"/>
            </w:tcBorders>
            <w:noWrap w:val="0"/>
            <w:vAlign w:val="center"/>
          </w:tcPr>
          <w:p w14:paraId="2186DC0E">
            <w:pPr>
              <w:rPr>
                <w:rFonts w:hint="default"/>
                <w:color w:val="auto"/>
                <w:highlight w:val="none"/>
              </w:rPr>
            </w:pPr>
          </w:p>
        </w:tc>
        <w:tc>
          <w:tcPr>
            <w:tcW w:w="1268" w:type="dxa"/>
            <w:tcBorders>
              <w:top w:val="single" w:color="auto" w:sz="4" w:space="0"/>
              <w:left w:val="single" w:color="000000" w:sz="4" w:space="0"/>
              <w:bottom w:val="single" w:color="auto" w:sz="4" w:space="0"/>
              <w:right w:val="single" w:color="auto" w:sz="4" w:space="0"/>
            </w:tcBorders>
            <w:noWrap w:val="0"/>
            <w:vAlign w:val="center"/>
          </w:tcPr>
          <w:p w14:paraId="3114DF5B">
            <w:pPr>
              <w:rPr>
                <w:color w:val="auto"/>
                <w:highlight w:val="none"/>
              </w:rPr>
            </w:pPr>
          </w:p>
        </w:tc>
        <w:tc>
          <w:tcPr>
            <w:tcW w:w="3709" w:type="dxa"/>
            <w:tcBorders>
              <w:top w:val="single" w:color="auto" w:sz="4" w:space="0"/>
              <w:left w:val="single" w:color="auto" w:sz="4" w:space="0"/>
              <w:bottom w:val="single" w:color="auto" w:sz="4" w:space="0"/>
              <w:right w:val="single" w:color="000000" w:sz="4" w:space="0"/>
            </w:tcBorders>
            <w:noWrap w:val="0"/>
            <w:vAlign w:val="center"/>
          </w:tcPr>
          <w:p w14:paraId="7CDF8455">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auto" w:sz="4" w:space="0"/>
              <w:right w:val="single" w:color="000000" w:sz="4" w:space="0"/>
            </w:tcBorders>
            <w:noWrap w:val="0"/>
            <w:vAlign w:val="top"/>
          </w:tcPr>
          <w:p w14:paraId="7237621F">
            <w:pPr>
              <w:rPr>
                <w:rFonts w:hint="default"/>
                <w:color w:val="auto"/>
                <w:highlight w:val="none"/>
              </w:rPr>
            </w:pPr>
          </w:p>
        </w:tc>
      </w:tr>
      <w:tr w14:paraId="4A33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481" w:type="dxa"/>
            <w:tcBorders>
              <w:top w:val="single" w:color="auto" w:sz="4" w:space="0"/>
              <w:left w:val="single" w:color="000000" w:sz="4" w:space="0"/>
              <w:bottom w:val="single" w:color="auto" w:sz="4" w:space="0"/>
              <w:right w:val="single" w:color="000000" w:sz="4" w:space="0"/>
            </w:tcBorders>
            <w:noWrap w:val="0"/>
            <w:vAlign w:val="center"/>
          </w:tcPr>
          <w:p w14:paraId="1D6A512B">
            <w:pPr>
              <w:jc w:val="center"/>
              <w:rPr>
                <w:rFonts w:hint="default"/>
                <w:color w:val="auto"/>
                <w:highlight w:val="none"/>
                <w:lang w:val="en-US" w:eastAsia="zh-CN"/>
              </w:rPr>
            </w:pPr>
            <w:r>
              <w:rPr>
                <w:rFonts w:hint="eastAsia"/>
                <w:color w:val="auto"/>
                <w:highlight w:val="none"/>
                <w:lang w:val="en-US" w:eastAsia="zh-CN"/>
              </w:rPr>
              <w:t>7</w:t>
            </w:r>
          </w:p>
        </w:tc>
        <w:tc>
          <w:tcPr>
            <w:tcW w:w="982" w:type="dxa"/>
            <w:tcBorders>
              <w:top w:val="single" w:color="auto" w:sz="4" w:space="0"/>
              <w:left w:val="single" w:color="000000" w:sz="4" w:space="0"/>
              <w:bottom w:val="single" w:color="auto" w:sz="4" w:space="0"/>
              <w:right w:val="single" w:color="000000" w:sz="4" w:space="0"/>
            </w:tcBorders>
            <w:noWrap w:val="0"/>
            <w:vAlign w:val="center"/>
          </w:tcPr>
          <w:p w14:paraId="0E4CB8B7">
            <w:pPr>
              <w:rPr>
                <w:rFonts w:hint="default"/>
                <w:color w:val="auto"/>
                <w:highlight w:val="none"/>
              </w:rPr>
            </w:pPr>
          </w:p>
        </w:tc>
        <w:tc>
          <w:tcPr>
            <w:tcW w:w="1268" w:type="dxa"/>
            <w:tcBorders>
              <w:top w:val="single" w:color="auto" w:sz="4" w:space="0"/>
              <w:left w:val="single" w:color="000000" w:sz="4" w:space="0"/>
              <w:bottom w:val="single" w:color="000000" w:sz="4" w:space="0"/>
              <w:right w:val="single" w:color="auto" w:sz="4" w:space="0"/>
            </w:tcBorders>
            <w:noWrap w:val="0"/>
            <w:vAlign w:val="center"/>
          </w:tcPr>
          <w:p w14:paraId="4DCFC714">
            <w:pPr>
              <w:rPr>
                <w:color w:val="auto"/>
                <w:highlight w:val="none"/>
              </w:rPr>
            </w:pPr>
          </w:p>
        </w:tc>
        <w:tc>
          <w:tcPr>
            <w:tcW w:w="3709" w:type="dxa"/>
            <w:tcBorders>
              <w:top w:val="single" w:color="auto" w:sz="4" w:space="0"/>
              <w:left w:val="single" w:color="auto" w:sz="4" w:space="0"/>
              <w:bottom w:val="single" w:color="000000" w:sz="4" w:space="0"/>
              <w:right w:val="single" w:color="000000" w:sz="4" w:space="0"/>
            </w:tcBorders>
            <w:noWrap w:val="0"/>
            <w:vAlign w:val="center"/>
          </w:tcPr>
          <w:p w14:paraId="00485824">
            <w:pPr>
              <w:jc w:val="center"/>
              <w:rPr>
                <w:rFonts w:hint="default"/>
                <w:color w:val="auto"/>
                <w:highlight w:val="none"/>
              </w:rPr>
            </w:pPr>
            <w:r>
              <w:rPr>
                <w:color w:val="auto"/>
                <w:highlight w:val="none"/>
                <w:lang w:val="en-US" w:eastAsia="zh-CN"/>
              </w:rPr>
              <w:t xml:space="preserve">□ 优秀 □ 良好 </w:t>
            </w:r>
            <w:r>
              <w:rPr>
                <w:rFonts w:hint="eastAsia"/>
                <w:color w:val="auto"/>
                <w:highlight w:val="none"/>
                <w:lang w:val="en-US" w:eastAsia="zh-CN"/>
              </w:rPr>
              <w:t>□</w:t>
            </w:r>
            <w:r>
              <w:rPr>
                <w:color w:val="auto"/>
                <w:highlight w:val="none"/>
                <w:lang w:val="en-US" w:eastAsia="zh-CN"/>
              </w:rPr>
              <w:t xml:space="preserve"> 一般 □ 不合格</w:t>
            </w:r>
          </w:p>
        </w:tc>
        <w:tc>
          <w:tcPr>
            <w:tcW w:w="2130" w:type="dxa"/>
            <w:tcBorders>
              <w:top w:val="single" w:color="auto" w:sz="4" w:space="0"/>
              <w:left w:val="single" w:color="000000" w:sz="4" w:space="0"/>
              <w:bottom w:val="single" w:color="000000" w:sz="4" w:space="0"/>
              <w:right w:val="single" w:color="000000" w:sz="4" w:space="0"/>
            </w:tcBorders>
            <w:noWrap w:val="0"/>
            <w:vAlign w:val="top"/>
          </w:tcPr>
          <w:p w14:paraId="1A109280">
            <w:pPr>
              <w:rPr>
                <w:rFonts w:hint="default"/>
                <w:color w:val="auto"/>
                <w:highlight w:val="none"/>
              </w:rPr>
            </w:pPr>
          </w:p>
        </w:tc>
      </w:tr>
      <w:tr w14:paraId="347B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81" w:type="dxa"/>
            <w:vMerge w:val="restart"/>
            <w:tcBorders>
              <w:top w:val="single" w:color="000000" w:sz="4" w:space="0"/>
              <w:left w:val="single" w:color="000000" w:sz="4" w:space="0"/>
              <w:bottom w:val="nil"/>
              <w:right w:val="single" w:color="000000" w:sz="4" w:space="0"/>
            </w:tcBorders>
            <w:noWrap w:val="0"/>
            <w:vAlign w:val="center"/>
          </w:tcPr>
          <w:p w14:paraId="417556C9">
            <w:pPr>
              <w:jc w:val="center"/>
              <w:rPr>
                <w:rFonts w:hint="eastAsia" w:eastAsia="宋体"/>
                <w:color w:val="auto"/>
                <w:highlight w:val="none"/>
                <w:lang w:val="en-US" w:eastAsia="zh-CN"/>
              </w:rPr>
            </w:pPr>
            <w:r>
              <w:rPr>
                <w:rFonts w:hint="eastAsia"/>
                <w:color w:val="auto"/>
                <w:highlight w:val="none"/>
                <w:lang w:val="en-US" w:eastAsia="zh-CN"/>
              </w:rPr>
              <w:t>8</w:t>
            </w:r>
          </w:p>
        </w:tc>
        <w:tc>
          <w:tcPr>
            <w:tcW w:w="8089" w:type="dxa"/>
            <w:gridSpan w:val="4"/>
            <w:tcBorders>
              <w:top w:val="single" w:color="000000" w:sz="4" w:space="0"/>
              <w:left w:val="single" w:color="000000" w:sz="4" w:space="0"/>
              <w:bottom w:val="single" w:color="000000" w:sz="4" w:space="0"/>
              <w:right w:val="single" w:color="000000" w:sz="4" w:space="0"/>
            </w:tcBorders>
            <w:noWrap w:val="0"/>
            <w:vAlign w:val="center"/>
          </w:tcPr>
          <w:p w14:paraId="567673DA">
            <w:pPr>
              <w:rPr>
                <w:rFonts w:hint="default"/>
                <w:color w:val="auto"/>
                <w:highlight w:val="none"/>
              </w:rPr>
            </w:pPr>
            <w:r>
              <w:rPr>
                <w:color w:val="auto"/>
                <w:highlight w:val="none"/>
                <w:lang w:val="en-US" w:eastAsia="zh-CN"/>
              </w:rPr>
              <w:t>本</w:t>
            </w:r>
            <w:r>
              <w:rPr>
                <w:rFonts w:hint="eastAsia"/>
                <w:color w:val="auto"/>
                <w:highlight w:val="none"/>
                <w:lang w:val="en-US" w:eastAsia="zh-CN"/>
              </w:rPr>
              <w:t>月</w:t>
            </w:r>
            <w:r>
              <w:rPr>
                <w:color w:val="auto"/>
                <w:highlight w:val="none"/>
                <w:lang w:val="en-US" w:eastAsia="zh-CN"/>
              </w:rPr>
              <w:t>度维保服务质量考核结果</w:t>
            </w:r>
            <w:r>
              <w:rPr>
                <w:rFonts w:hint="eastAsia"/>
                <w:color w:val="auto"/>
                <w:highlight w:val="none"/>
                <w:lang w:val="en-US" w:eastAsia="zh-CN"/>
              </w:rPr>
              <w:t>：</w:t>
            </w:r>
          </w:p>
        </w:tc>
      </w:tr>
      <w:tr w14:paraId="2738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81" w:type="dxa"/>
            <w:vMerge w:val="continue"/>
            <w:tcBorders>
              <w:top w:val="single" w:color="000000" w:sz="4" w:space="0"/>
              <w:left w:val="single" w:color="000000" w:sz="4" w:space="0"/>
              <w:bottom w:val="nil"/>
              <w:right w:val="single" w:color="000000" w:sz="4" w:space="0"/>
            </w:tcBorders>
            <w:noWrap w:val="0"/>
            <w:vAlign w:val="center"/>
          </w:tcPr>
          <w:p w14:paraId="0659A7B7">
            <w:pPr>
              <w:jc w:val="center"/>
              <w:rPr>
                <w:rFonts w:hint="default"/>
                <w:color w:val="auto"/>
                <w:highlight w:val="none"/>
              </w:rPr>
            </w:pPr>
          </w:p>
        </w:tc>
        <w:tc>
          <w:tcPr>
            <w:tcW w:w="8089" w:type="dxa"/>
            <w:gridSpan w:val="4"/>
            <w:tcBorders>
              <w:top w:val="single" w:color="000000" w:sz="4" w:space="0"/>
              <w:left w:val="single" w:color="000000" w:sz="4" w:space="0"/>
              <w:bottom w:val="single" w:color="000000" w:sz="4" w:space="0"/>
              <w:right w:val="single" w:color="000000" w:sz="4" w:space="0"/>
            </w:tcBorders>
            <w:noWrap w:val="0"/>
            <w:vAlign w:val="center"/>
          </w:tcPr>
          <w:p w14:paraId="12DE458B">
            <w:pPr>
              <w:rPr>
                <w:color w:val="auto"/>
                <w:highlight w:val="none"/>
              </w:rPr>
            </w:pPr>
            <w:r>
              <w:rPr>
                <w:color w:val="auto"/>
                <w:highlight w:val="none"/>
                <w:lang w:val="en-US" w:eastAsia="zh-CN"/>
              </w:rPr>
              <w:t>考核人员签名：</w:t>
            </w:r>
          </w:p>
        </w:tc>
      </w:tr>
      <w:tr w14:paraId="7A98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3AC7F3AA">
            <w:pPr>
              <w:jc w:val="center"/>
              <w:rPr>
                <w:rFonts w:hint="eastAsia" w:eastAsia="宋体"/>
                <w:color w:val="auto"/>
                <w:highlight w:val="none"/>
                <w:lang w:val="en-US" w:eastAsia="zh-CN"/>
              </w:rPr>
            </w:pPr>
            <w:r>
              <w:rPr>
                <w:rFonts w:hint="eastAsia"/>
                <w:color w:val="auto"/>
                <w:highlight w:val="none"/>
                <w:lang w:val="en-US" w:eastAsia="zh-CN"/>
              </w:rPr>
              <w:t>9</w:t>
            </w:r>
          </w:p>
        </w:tc>
        <w:tc>
          <w:tcPr>
            <w:tcW w:w="8089" w:type="dxa"/>
            <w:gridSpan w:val="4"/>
            <w:tcBorders>
              <w:top w:val="single" w:color="000000" w:sz="4" w:space="0"/>
              <w:left w:val="nil"/>
              <w:bottom w:val="single" w:color="000000" w:sz="4" w:space="0"/>
              <w:right w:val="single" w:color="000000" w:sz="4" w:space="0"/>
            </w:tcBorders>
            <w:noWrap w:val="0"/>
            <w:vAlign w:val="center"/>
          </w:tcPr>
          <w:p w14:paraId="23589C42">
            <w:pPr>
              <w:pStyle w:val="10"/>
              <w:keepNext w:val="0"/>
              <w:keepLines w:val="0"/>
              <w:pageBreakBefore w:val="0"/>
              <w:widowControl w:val="0"/>
              <w:numPr>
                <w:ilvl w:val="0"/>
                <w:numId w:val="0"/>
              </w:numPr>
              <w:tabs>
                <w:tab w:val="left" w:pos="1325"/>
              </w:tabs>
              <w:kinsoku/>
              <w:wordWrap/>
              <w:overflowPunct/>
              <w:topLinePunct w:val="0"/>
              <w:autoSpaceDE w:val="0"/>
              <w:autoSpaceDN w:val="0"/>
              <w:bidi w:val="0"/>
              <w:adjustRightInd w:val="0"/>
              <w:snapToGrid w:val="0"/>
              <w:spacing w:before="0" w:after="0" w:line="360" w:lineRule="auto"/>
              <w:ind w:right="0" w:rightChars="0"/>
              <w:jc w:val="left"/>
              <w:textAlignment w:val="auto"/>
              <w:rPr>
                <w:rFonts w:hint="default" w:ascii="Calibri" w:hAnsi="Calibri" w:cs="Times New Roman"/>
                <w:color w:val="auto"/>
                <w:kern w:val="2"/>
                <w:sz w:val="21"/>
                <w:szCs w:val="24"/>
                <w:highlight w:val="none"/>
                <w:lang w:val="en-US" w:eastAsia="zh-CN" w:bidi="ar-SA"/>
              </w:rPr>
            </w:pPr>
            <w:r>
              <w:rPr>
                <w:color w:val="auto"/>
                <w:highlight w:val="none"/>
                <w:lang w:val="en-US" w:eastAsia="zh-CN"/>
              </w:rPr>
              <w:t>备注：</w:t>
            </w:r>
            <w:r>
              <w:rPr>
                <w:rFonts w:hint="eastAsia" w:ascii="Calibri" w:hAnsi="Calibri" w:eastAsia="宋体" w:cs="Times New Roman"/>
                <w:color w:val="auto"/>
                <w:kern w:val="2"/>
                <w:sz w:val="21"/>
                <w:szCs w:val="24"/>
                <w:highlight w:val="none"/>
                <w:lang w:val="en-US" w:eastAsia="zh-CN" w:bidi="ar-SA"/>
              </w:rPr>
              <w:t>保卫部门组织医院相关科室</w:t>
            </w:r>
            <w:r>
              <w:rPr>
                <w:rFonts w:hint="eastAsia" w:ascii="Calibri" w:hAnsi="Calibri"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根据乙方月度评价，综合日常工作情况进行整个年度考核</w:t>
            </w:r>
            <w:r>
              <w:rPr>
                <w:rFonts w:hint="eastAsia" w:ascii="Calibri" w:hAnsi="Calibri" w:cs="Times New Roman"/>
                <w:color w:val="auto"/>
                <w:kern w:val="2"/>
                <w:sz w:val="21"/>
                <w:szCs w:val="24"/>
                <w:highlight w:val="none"/>
                <w:lang w:val="en-US" w:eastAsia="zh-CN" w:bidi="ar-SA"/>
              </w:rPr>
              <w:t>。</w:t>
            </w:r>
          </w:p>
          <w:p w14:paraId="791935AC">
            <w:pPr>
              <w:rPr>
                <w:color w:val="auto"/>
                <w:highlight w:val="none"/>
              </w:rPr>
            </w:pPr>
            <w:r>
              <w:rPr>
                <w:rFonts w:hint="eastAsia"/>
                <w:color w:val="auto"/>
                <w:highlight w:val="none"/>
                <w:lang w:val="en-US" w:eastAsia="zh-CN"/>
              </w:rPr>
              <w:t>内容：考核分为3项，累积3项一般；其中出现</w:t>
            </w:r>
            <w:r>
              <w:rPr>
                <w:rFonts w:hint="eastAsia" w:eastAsia="宋体" w:cs="Times New Roman"/>
                <w:color w:val="auto"/>
                <w:highlight w:val="none"/>
                <w:lang w:val="en-US" w:eastAsia="zh-CN"/>
              </w:rPr>
              <w:t xml:space="preserve">1项考核不合格；取消该公司下一年度的合作资格。 </w:t>
            </w:r>
            <w:r>
              <w:rPr>
                <w:color w:val="auto"/>
                <w:highlight w:val="none"/>
                <w:lang w:val="en-US" w:eastAsia="zh-CN"/>
              </w:rPr>
              <w:br w:type="textWrapping"/>
            </w:r>
          </w:p>
        </w:tc>
      </w:tr>
    </w:tbl>
    <w:p w14:paraId="6FF36CB5"/>
    <w:p w14:paraId="4702C742">
      <w:pPr>
        <w:pStyle w:val="3"/>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rightChars="0" w:firstLine="0" w:firstLineChars="0"/>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888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A189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EA189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AA8B">
    <w:pPr>
      <w:pStyle w:val="3"/>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3240BE">
                          <w:pPr>
                            <w:pStyle w:val="4"/>
                            <w:rPr>
                              <w:rFonts w:hint="default" w:eastAsiaTheme="minorEastAsia"/>
                              <w:lang w:val="en-US" w:eastAsia="zh-CN"/>
                            </w:rPr>
                          </w:pPr>
                          <w:r>
                            <w:rPr>
                              <w:rFonts w:hint="eastAsia"/>
                              <w:lang w:val="en-US" w:eastAsia="zh-CN"/>
                            </w:rPr>
                            <w:t>21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F3240BE">
                    <w:pPr>
                      <w:pStyle w:val="4"/>
                      <w:rPr>
                        <w:rFonts w:hint="default" w:eastAsiaTheme="minorEastAsia"/>
                        <w:lang w:val="en-US" w:eastAsia="zh-CN"/>
                      </w:rPr>
                    </w:pPr>
                    <w:r>
                      <w:rPr>
                        <w:rFonts w:hint="eastAsia"/>
                        <w:lang w:val="en-US" w:eastAsia="zh-CN"/>
                      </w:rPr>
                      <w:t>21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3AC57">
    <w:pPr>
      <w:pStyle w:val="3"/>
      <w:pBdr>
        <w:bottom w:val="none" w:color="auto" w:sz="0" w:space="0"/>
      </w:pBdr>
      <w:spacing w:line="240"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7722A">
    <w:pPr>
      <w:pStyle w:val="3"/>
      <w:pBdr>
        <w:bottom w:val="none" w:color="auto" w:sz="0" w:space="0"/>
      </w:pBdr>
      <w:spacing w:line="240"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77515"/>
    <w:multiLevelType w:val="multilevel"/>
    <w:tmpl w:val="4FB77515"/>
    <w:lvl w:ilvl="0" w:tentative="0">
      <w:start w:val="1"/>
      <w:numFmt w:val="upperLetter"/>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5D93821A"/>
    <w:multiLevelType w:val="singleLevel"/>
    <w:tmpl w:val="5D93821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YzgyZTEzNWM4OGY1YzJhMGI3M2RiZjU3ZTE0ODYifQ=="/>
  </w:docVars>
  <w:rsids>
    <w:rsidRoot w:val="7FFF23DC"/>
    <w:rsid w:val="012D0F0D"/>
    <w:rsid w:val="01AB0167"/>
    <w:rsid w:val="03830882"/>
    <w:rsid w:val="046C750A"/>
    <w:rsid w:val="05D74130"/>
    <w:rsid w:val="072114D0"/>
    <w:rsid w:val="090D707A"/>
    <w:rsid w:val="09DF41EA"/>
    <w:rsid w:val="0A590531"/>
    <w:rsid w:val="0CA3116B"/>
    <w:rsid w:val="0D0B3D64"/>
    <w:rsid w:val="0DF33A65"/>
    <w:rsid w:val="0EAE0E4B"/>
    <w:rsid w:val="10027661"/>
    <w:rsid w:val="125B2CC5"/>
    <w:rsid w:val="12D24F2C"/>
    <w:rsid w:val="150800DE"/>
    <w:rsid w:val="19284874"/>
    <w:rsid w:val="1D8D324C"/>
    <w:rsid w:val="1DBD44AC"/>
    <w:rsid w:val="1ECE041A"/>
    <w:rsid w:val="210E5779"/>
    <w:rsid w:val="23E96AD9"/>
    <w:rsid w:val="24533047"/>
    <w:rsid w:val="246A716A"/>
    <w:rsid w:val="2B795CAE"/>
    <w:rsid w:val="2D2023A3"/>
    <w:rsid w:val="2E653E4E"/>
    <w:rsid w:val="30C066F6"/>
    <w:rsid w:val="312D2076"/>
    <w:rsid w:val="32897E8A"/>
    <w:rsid w:val="3621205E"/>
    <w:rsid w:val="36852794"/>
    <w:rsid w:val="368F5297"/>
    <w:rsid w:val="37276661"/>
    <w:rsid w:val="37BD2C53"/>
    <w:rsid w:val="39824E80"/>
    <w:rsid w:val="39825B00"/>
    <w:rsid w:val="39A959E1"/>
    <w:rsid w:val="3BBE3D48"/>
    <w:rsid w:val="3BC007E3"/>
    <w:rsid w:val="3BE11259"/>
    <w:rsid w:val="3DAC0027"/>
    <w:rsid w:val="3E5045C4"/>
    <w:rsid w:val="3F4D7443"/>
    <w:rsid w:val="3FC11368"/>
    <w:rsid w:val="437B50D7"/>
    <w:rsid w:val="43BB70A5"/>
    <w:rsid w:val="43BC6AC8"/>
    <w:rsid w:val="458F7C70"/>
    <w:rsid w:val="4AE5785A"/>
    <w:rsid w:val="4AF47EF1"/>
    <w:rsid w:val="4D420C44"/>
    <w:rsid w:val="4DD93410"/>
    <w:rsid w:val="4FA321AB"/>
    <w:rsid w:val="4FFF25AD"/>
    <w:rsid w:val="53A85BCE"/>
    <w:rsid w:val="55EA31AA"/>
    <w:rsid w:val="56CC03E2"/>
    <w:rsid w:val="57685489"/>
    <w:rsid w:val="57AB0D95"/>
    <w:rsid w:val="57DC5E04"/>
    <w:rsid w:val="5B8C7EF6"/>
    <w:rsid w:val="5BA83942"/>
    <w:rsid w:val="5BBF1714"/>
    <w:rsid w:val="5E781EC9"/>
    <w:rsid w:val="5F1102F9"/>
    <w:rsid w:val="60B411D7"/>
    <w:rsid w:val="61527A79"/>
    <w:rsid w:val="63DA680C"/>
    <w:rsid w:val="652C690E"/>
    <w:rsid w:val="66A705F7"/>
    <w:rsid w:val="67145A4D"/>
    <w:rsid w:val="689A6AB9"/>
    <w:rsid w:val="68CF79D7"/>
    <w:rsid w:val="69E80182"/>
    <w:rsid w:val="6A5D6751"/>
    <w:rsid w:val="6C696E36"/>
    <w:rsid w:val="6DF2160E"/>
    <w:rsid w:val="6F2F168C"/>
    <w:rsid w:val="6FA73274"/>
    <w:rsid w:val="701F452A"/>
    <w:rsid w:val="72E31339"/>
    <w:rsid w:val="747B3D25"/>
    <w:rsid w:val="75B84A80"/>
    <w:rsid w:val="78453AE9"/>
    <w:rsid w:val="79EE1860"/>
    <w:rsid w:val="7FFF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pPr>
      <w:ind w:left="240"/>
    </w:pPr>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1"/>
    <w:pPr>
      <w:spacing w:before="199"/>
      <w:ind w:left="240" w:firstLine="480"/>
    </w:pPr>
    <w:rPr>
      <w:rFonts w:ascii="宋体" w:hAnsi="宋体" w:eastAsia="宋体" w:cs="宋体"/>
      <w:lang w:val="zh-CN" w:eastAsia="zh-CN" w:bidi="zh-CN"/>
    </w:rPr>
  </w:style>
  <w:style w:type="paragraph" w:customStyle="1" w:styleId="11">
    <w:name w:val="列出段落1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5775</Words>
  <Characters>6052</Characters>
  <Lines>0</Lines>
  <Paragraphs>0</Paragraphs>
  <TotalTime>1</TotalTime>
  <ScaleCrop>false</ScaleCrop>
  <LinksUpToDate>false</LinksUpToDate>
  <CharactersWithSpaces>6054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2024-02-27T17:15:00Z</dcterms:created>
  <dc:creator>蓝蓝</dc:creator>
  <cp:lastModifiedBy>jing</cp:lastModifiedBy>
  <cp:lastPrinted>2024-11-21T02:44:00Z</cp:lastPrinted>
  <dcterms:modified xsi:type="dcterms:W3CDTF">2024-11-28T08:46:59Z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D389741257724B64B4514E921D7DE1BC_13</vt:lpwstr>
  </property>
</Properties>
</file>