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51" w:tblpY="310"/>
        <w:tblOverlap w:val="never"/>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75"/>
        <w:gridCol w:w="8042"/>
      </w:tblGrid>
      <w:tr w14:paraId="775D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0" w:type="dxa"/>
            <w:vAlign w:val="center"/>
          </w:tcPr>
          <w:p w14:paraId="66378E9A">
            <w:pPr>
              <w:jc w:val="center"/>
              <w:rPr>
                <w:sz w:val="24"/>
              </w:rPr>
            </w:pPr>
            <w:bookmarkStart w:id="1" w:name="_GoBack"/>
            <w:bookmarkEnd w:id="1"/>
            <w:bookmarkStart w:id="0" w:name="_Hlk75534954"/>
            <w:r>
              <w:rPr>
                <w:rFonts w:hint="eastAsia"/>
                <w:sz w:val="24"/>
                <w:lang w:val="en-US" w:eastAsia="zh-CN"/>
              </w:rPr>
              <w:t>项目</w:t>
            </w:r>
            <w:r>
              <w:rPr>
                <w:rFonts w:hint="eastAsia"/>
                <w:sz w:val="24"/>
              </w:rPr>
              <w:t>名称</w:t>
            </w:r>
          </w:p>
        </w:tc>
        <w:tc>
          <w:tcPr>
            <w:tcW w:w="8217" w:type="dxa"/>
            <w:gridSpan w:val="2"/>
            <w:vAlign w:val="center"/>
          </w:tcPr>
          <w:p w14:paraId="681ABEBC">
            <w:pPr>
              <w:jc w:val="center"/>
              <w:rPr>
                <w:b/>
                <w:sz w:val="24"/>
              </w:rPr>
            </w:pPr>
            <w:r>
              <w:rPr>
                <w:rFonts w:hint="eastAsia" w:ascii="宋体" w:hAnsi="宋体" w:cs="宋体"/>
                <w:b/>
                <w:bCs/>
                <w:kern w:val="0"/>
                <w:sz w:val="24"/>
                <w:u w:val="single"/>
              </w:rPr>
              <w:t>内、外网DNS安全系统</w:t>
            </w:r>
          </w:p>
        </w:tc>
      </w:tr>
      <w:tr w14:paraId="306F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97" w:type="dxa"/>
            <w:gridSpan w:val="3"/>
          </w:tcPr>
          <w:p w14:paraId="5A553B28">
            <w:pPr>
              <w:pStyle w:val="4"/>
              <w:numPr>
                <w:ilvl w:val="0"/>
                <w:numId w:val="1"/>
              </w:numPr>
              <w:ind w:firstLineChars="0"/>
              <w:rPr>
                <w:b/>
                <w:sz w:val="24"/>
              </w:rPr>
            </w:pPr>
            <w:r>
              <w:rPr>
                <w:rFonts w:hint="eastAsia"/>
                <w:b/>
                <w:sz w:val="24"/>
              </w:rPr>
              <w:t>功能要求</w:t>
            </w:r>
          </w:p>
        </w:tc>
      </w:tr>
      <w:tr w14:paraId="12F7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646E3B15">
            <w:pP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1、用户与访问管理</w:t>
            </w:r>
          </w:p>
        </w:tc>
        <w:tc>
          <w:tcPr>
            <w:tcW w:w="8042" w:type="dxa"/>
          </w:tcPr>
          <w:p w14:paraId="52E0BF21">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1、平台支持三权管理，且登录认证及密码管理需满足等保三级要求；</w:t>
            </w:r>
          </w:p>
          <w:p w14:paraId="11E9BFA7">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2、权限细颗粒化管理、可根据不同用户（组）、角色分配不同的管理权限；</w:t>
            </w:r>
          </w:p>
          <w:p w14:paraId="3028F05A">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3、支持双因子认证功能，除用户名密码认证外，其他认证不限于短信验证码、微信（限外网）、Ukey等技术；</w:t>
            </w:r>
          </w:p>
          <w:p w14:paraId="0C62BD94">
            <w:pPr>
              <w:pStyle w:val="4"/>
              <w:ind w:firstLine="0" w:firstLineChars="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4、支持访问控制，平台能支持黑、白名单登录；</w:t>
            </w:r>
          </w:p>
        </w:tc>
      </w:tr>
      <w:tr w14:paraId="418D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754C9433">
            <w:pP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2、DNS权威功能</w:t>
            </w:r>
          </w:p>
        </w:tc>
        <w:tc>
          <w:tcPr>
            <w:tcW w:w="8042" w:type="dxa"/>
          </w:tcPr>
          <w:p w14:paraId="5C717EA8">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1、支持权威智能解析，可根据不同区域的来源IP地址进行智能DNS解析，得到不同的查询解析结果；</w:t>
            </w:r>
          </w:p>
          <w:p w14:paraId="31253DB2">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2、支持A、AAAA、NS、MX、CNAME、NAPTR、SRV、PTR、TXT、DNAME、SPF、CAA等多种类型记录的解析；</w:t>
            </w:r>
          </w:p>
          <w:p w14:paraId="401F7C11">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3、支持根据出口运营商、业务不同建立不同区域（正向、反向）管理；</w:t>
            </w:r>
          </w:p>
          <w:p w14:paraId="7407A94D">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4、支持对多地址的轮询和排序解析；</w:t>
            </w:r>
          </w:p>
          <w:p w14:paraId="17348A00">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5、内网DNS能建立院内权威域名解析。摆脱对host文件的依赖，优化运维方式；</w:t>
            </w:r>
          </w:p>
          <w:p w14:paraId="1937E330">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6、外网DNS能建立院内权威，优化服务器访问管理。</w:t>
            </w:r>
          </w:p>
        </w:tc>
      </w:tr>
      <w:tr w14:paraId="1A58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29A6CA3A">
            <w:pP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3、DNS递归功能</w:t>
            </w:r>
          </w:p>
        </w:tc>
        <w:tc>
          <w:tcPr>
            <w:tcW w:w="8042" w:type="dxa"/>
          </w:tcPr>
          <w:p w14:paraId="7E21BD94">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1、支持递归智能解析，可根据不同ISP线路，终端可以对同一域名解析出不同的IP结果；</w:t>
            </w:r>
          </w:p>
          <w:p w14:paraId="68E26885">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2、支持对不存在（或者恶意域名）域名解析结果的重定向；</w:t>
            </w:r>
          </w:p>
          <w:p w14:paraId="21A4C1F8">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3、可以基于域名进行DNS解析调度；</w:t>
            </w:r>
          </w:p>
          <w:p w14:paraId="40C31593">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4、内网DNS能递归解析医保等关键业务相关的域名；</w:t>
            </w:r>
          </w:p>
          <w:p w14:paraId="58B85798">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5、外网DNS能递归解析国内、国外的业务相关的域名；</w:t>
            </w:r>
          </w:p>
        </w:tc>
      </w:tr>
      <w:tr w14:paraId="0B7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7405C056">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4、DNS安全管理</w:t>
            </w:r>
          </w:p>
        </w:tc>
        <w:tc>
          <w:tcPr>
            <w:tcW w:w="8042" w:type="dxa"/>
          </w:tcPr>
          <w:p w14:paraId="42D3A970">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1、支持对单IP（域名）、多IP（域名）进行限速；</w:t>
            </w:r>
          </w:p>
          <w:p w14:paraId="3B376A47">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2、能防范NDS隧道攻击，防止数据泄露；</w:t>
            </w:r>
          </w:p>
          <w:p w14:paraId="46ABBDE5">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3、能防范DDos攻击、放大攻击、禁止DNS ANY类型请求；</w:t>
            </w:r>
            <w:r>
              <w:rPr>
                <w:rFonts w:ascii="仿宋_GB2312" w:hAnsi="仿宋_GB2312" w:eastAsia="仿宋_GB2312" w:cs="仿宋_GB2312"/>
                <w:bCs/>
                <w:color w:val="000000" w:themeColor="text1"/>
                <w:sz w:val="24"/>
                <w14:textFill>
                  <w14:solidFill>
                    <w14:schemeClr w14:val="tx1"/>
                  </w14:solidFill>
                </w14:textFill>
              </w:rPr>
              <w:t xml:space="preserve"> </w:t>
            </w:r>
          </w:p>
          <w:p w14:paraId="30AB7BCC">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4、能防止对平台进行DNS缓存窥探攻击，及能对DNS缓存进行安全管理；</w:t>
            </w:r>
          </w:p>
          <w:p w14:paraId="71F8A91D">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5、能防范DNS反射攻击；</w:t>
            </w:r>
          </w:p>
          <w:p w14:paraId="20471CFF">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6、能识别DNS</w:t>
            </w:r>
            <w:r>
              <w:rPr>
                <w:rFonts w:ascii="仿宋_GB2312" w:hAnsi="仿宋_GB2312" w:eastAsia="仿宋_GB2312" w:cs="仿宋_GB2312"/>
                <w:bCs/>
                <w:color w:val="000000" w:themeColor="text1"/>
                <w:sz w:val="24"/>
                <w14:textFill>
                  <w14:solidFill>
                    <w14:schemeClr w14:val="tx1"/>
                  </w14:solidFill>
                </w14:textFill>
              </w:rPr>
              <w:t>递归攻击</w:t>
            </w:r>
            <w:r>
              <w:rPr>
                <w:rFonts w:hint="eastAsia" w:ascii="仿宋_GB2312" w:hAnsi="仿宋_GB2312" w:eastAsia="仿宋_GB2312" w:cs="仿宋_GB2312"/>
                <w:bCs/>
                <w:color w:val="000000" w:themeColor="text1"/>
                <w:sz w:val="24"/>
                <w14:textFill>
                  <w14:solidFill>
                    <w14:schemeClr w14:val="tx1"/>
                  </w14:solidFill>
                </w14:textFill>
              </w:rPr>
              <w:t>，对攻击行为给予禁封和限速；</w:t>
            </w:r>
          </w:p>
          <w:p w14:paraId="03BE59FD">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7、有系统防火墙功能，支持UDP、TCP五元组常规防火墙过滤设置；</w:t>
            </w:r>
          </w:p>
          <w:p w14:paraId="4E4E3F6B">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8、平台自带（或嵌套第三方）域名情报库，并能自动更新情报库，能自动识别判定恶意的域名，并能自动拦截解析；</w:t>
            </w:r>
          </w:p>
          <w:p w14:paraId="0ECAD8D7">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9、支持自定义的域名库（黑、白名单）管理；</w:t>
            </w:r>
          </w:p>
          <w:p w14:paraId="3ECE9448">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10、平台支持自助申请审核域名的功能。支持域名的使用跟随项目实施的全生命周期管理；</w:t>
            </w:r>
          </w:p>
          <w:p w14:paraId="13D4DF77">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11、平台支持网卡数据捕获，方便网络故障排查；</w:t>
            </w:r>
          </w:p>
        </w:tc>
      </w:tr>
      <w:tr w14:paraId="0B51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55" w:type="dxa"/>
            <w:gridSpan w:val="2"/>
          </w:tcPr>
          <w:p w14:paraId="2A0BD2AD">
            <w:pP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5、报表与日志管理</w:t>
            </w:r>
          </w:p>
        </w:tc>
        <w:tc>
          <w:tcPr>
            <w:tcW w:w="8042" w:type="dxa"/>
          </w:tcPr>
          <w:p w14:paraId="77BE4FD3">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1、支持对平台所有操作能有日志记录可审计，转发、180天容量查询；</w:t>
            </w:r>
          </w:p>
          <w:p w14:paraId="5D50ED6B">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2、支持对系统日志管理记录可审计、转发、180天容量查询；</w:t>
            </w:r>
          </w:p>
          <w:p w14:paraId="1654A743">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3、支持解析日志查询分析，能查询时间、客户端源IP、查询目的域名、查询类型及解析状态等内容。并支持日志备份、转发、180天容量查询；</w:t>
            </w:r>
          </w:p>
          <w:p w14:paraId="54B72326">
            <w:pPr>
              <w:pStyle w:val="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4、支持域名排行，IP排行、解析状态、解析类型、QPS、解析成功率、缓存命中率、并发递归数、设备网卡流量信息等统计查询；</w:t>
            </w:r>
          </w:p>
          <w:p w14:paraId="51A7FA0B">
            <w:pPr>
              <w:pStyle w:val="4"/>
              <w:numPr>
                <w:ilvl w:val="0"/>
                <w:numId w:val="2"/>
              </w:numPr>
              <w:ind w:firstLineChars="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能对DNS域名解析自动（手动）生成详细报告；</w:t>
            </w:r>
          </w:p>
        </w:tc>
      </w:tr>
      <w:tr w14:paraId="7B6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97" w:type="dxa"/>
            <w:gridSpan w:val="3"/>
          </w:tcPr>
          <w:p w14:paraId="2EC836BE">
            <w:pPr>
              <w:rPr>
                <w:b/>
                <w:sz w:val="24"/>
              </w:rPr>
            </w:pPr>
            <w:r>
              <w:rPr>
                <w:rFonts w:hint="eastAsia"/>
                <w:b/>
                <w:sz w:val="24"/>
              </w:rPr>
              <w:t>二、部署和管理</w:t>
            </w:r>
          </w:p>
          <w:p w14:paraId="7CAB1794">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1、内、外网平台要求双机部署，实现高可用。可负载均衡部署、集群部署、云化等部署方式</w:t>
            </w:r>
          </w:p>
          <w:p w14:paraId="14BBC831">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2、★能监测平台自身（CPU、内存、磁盘等）运行状态，遇到平台故障能告警提示，同时不影响客户端的上网使用；</w:t>
            </w:r>
          </w:p>
          <w:p w14:paraId="19BBD608">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3、平台能联动医院现有时钟同步服务器，使平台及管控的终端按一定频率同步时间。</w:t>
            </w:r>
          </w:p>
          <w:p w14:paraId="041455DF">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4、平台自身需满足等保三级相关要求；</w:t>
            </w:r>
          </w:p>
          <w:p w14:paraId="07051133">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5、平台支持WEB中文管理界面（HTTP/HTTPS），界面友好、操作简易；</w:t>
            </w:r>
          </w:p>
          <w:p w14:paraId="321C9939">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6、支持手动和自动备份平台配置，可支持FTP和TFTP自动备份；</w:t>
            </w:r>
          </w:p>
          <w:p w14:paraId="513D6555">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7、</w:t>
            </w:r>
            <w:r>
              <w:rPr>
                <w:rFonts w:hint="eastAsia" w:ascii="仿宋_GB2312" w:eastAsia="仿宋_GB2312"/>
                <w:bCs/>
                <w:sz w:val="24"/>
              </w:rPr>
              <w:t>提供开发接口与其他产品相结合联动，并配合院方作相应定制开发，例如防火墙的策略下发、人事系统账号统一管理接口、国密改造、态势感知系统相联动等等。</w:t>
            </w:r>
          </w:p>
          <w:p w14:paraId="096AFECC">
            <w:pPr>
              <w:pStyle w:val="4"/>
              <w:ind w:firstLine="440"/>
              <w:rPr>
                <w:rFonts w:ascii="仿宋_GB2312" w:eastAsia="仿宋_GB2312"/>
                <w:bCs/>
                <w:sz w:val="22"/>
                <w:szCs w:val="22"/>
              </w:rPr>
            </w:pPr>
          </w:p>
        </w:tc>
      </w:tr>
      <w:tr w14:paraId="2779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97" w:type="dxa"/>
            <w:gridSpan w:val="3"/>
          </w:tcPr>
          <w:p w14:paraId="2531A4CC">
            <w:pPr>
              <w:numPr>
                <w:ilvl w:val="0"/>
                <w:numId w:val="3"/>
              </w:numPr>
              <w:rPr>
                <w:b/>
                <w:sz w:val="24"/>
              </w:rPr>
            </w:pPr>
            <w:r>
              <w:rPr>
                <w:rFonts w:hint="eastAsia"/>
                <w:b/>
                <w:sz w:val="24"/>
              </w:rPr>
              <w:t>资质及服务</w:t>
            </w:r>
          </w:p>
          <w:p w14:paraId="4E30B5E4">
            <w:pPr>
              <w:pStyle w:val="4"/>
              <w:ind w:firstLine="480"/>
              <w:rPr>
                <w:rFonts w:ascii="仿宋_GB2312" w:eastAsia="仿宋_GB2312"/>
                <w:bCs/>
                <w:sz w:val="24"/>
              </w:rPr>
            </w:pPr>
            <w:r>
              <w:rPr>
                <w:rFonts w:hint="eastAsia" w:ascii="仿宋_GB2312" w:eastAsia="仿宋_GB2312"/>
                <w:bCs/>
                <w:sz w:val="24"/>
              </w:rPr>
              <w:t>1.</w:t>
            </w:r>
            <w:r>
              <w:rPr>
                <w:rFonts w:hint="eastAsia" w:ascii="仿宋_GB2312" w:eastAsia="仿宋_GB2312"/>
                <w:bCs/>
                <w:sz w:val="24"/>
              </w:rPr>
              <w:tab/>
            </w:r>
            <w:r>
              <w:rPr>
                <w:rFonts w:hint="eastAsia" w:ascii="仿宋_GB2312" w:eastAsia="仿宋_GB2312"/>
                <w:bCs/>
                <w:sz w:val="24"/>
              </w:rPr>
              <w:t>★提供三年原厂保修及相关技术服务。</w:t>
            </w:r>
          </w:p>
          <w:p w14:paraId="283EDE58">
            <w:pPr>
              <w:pStyle w:val="4"/>
              <w:ind w:firstLine="480"/>
              <w:rPr>
                <w:rFonts w:ascii="仿宋_GB2312" w:eastAsia="仿宋_GB2312"/>
                <w:bCs/>
                <w:sz w:val="24"/>
              </w:rPr>
            </w:pPr>
            <w:r>
              <w:rPr>
                <w:rFonts w:hint="eastAsia" w:ascii="仿宋_GB2312" w:eastAsia="仿宋_GB2312"/>
                <w:bCs/>
                <w:sz w:val="24"/>
              </w:rPr>
              <w:t>2.</w:t>
            </w:r>
            <w:r>
              <w:rPr>
                <w:rFonts w:hint="eastAsia" w:ascii="仿宋_GB2312" w:eastAsia="仿宋_GB2312"/>
                <w:bCs/>
                <w:sz w:val="24"/>
              </w:rPr>
              <w:tab/>
            </w:r>
            <w:r>
              <w:rPr>
                <w:rFonts w:hint="eastAsia" w:ascii="仿宋_GB2312" w:hAnsi="仿宋_GB2312" w:eastAsia="仿宋_GB2312" w:cs="仿宋_GB2312"/>
                <w:bCs/>
                <w:color w:val="000000" w:themeColor="text1"/>
                <w:sz w:val="24"/>
                <w14:textFill>
                  <w14:solidFill>
                    <w14:schemeClr w14:val="tx1"/>
                  </w14:solidFill>
                </w14:textFill>
              </w:rPr>
              <w:t>中国国家信息安全产品认证证书。</w:t>
            </w:r>
          </w:p>
          <w:p w14:paraId="689B9561">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提供原厂DNS系统的部署安装调试以及对本院管理人员、使用人员的使用培训。</w:t>
            </w:r>
          </w:p>
          <w:p w14:paraId="6F2C2A4E">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必须具有所投产品的原厂商针对本项目的授权函原件和公司的售后服务承诺函原件。</w:t>
            </w:r>
          </w:p>
          <w:p w14:paraId="6257AA8E">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ISO9001质量管理体系证书。</w:t>
            </w:r>
          </w:p>
          <w:p w14:paraId="2ABDA3EE">
            <w:pPr>
              <w:pStyle w:val="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产品厂家必须具备该产品的《计算机软件著作权登记证书》。</w:t>
            </w:r>
          </w:p>
          <w:p w14:paraId="42B97520">
            <w:pPr>
              <w:pStyle w:val="4"/>
              <w:ind w:firstLine="482"/>
              <w:rPr>
                <w:b/>
                <w:sz w:val="24"/>
              </w:rPr>
            </w:pPr>
          </w:p>
        </w:tc>
      </w:tr>
      <w:bookmarkEnd w:id="0"/>
    </w:tbl>
    <w:p w14:paraId="5FA44917">
      <w:pPr>
        <w:rPr>
          <w:rFonts w:hint="eastAsia" w:ascii="宋体" w:hAnsi="宋体" w:cs="宋体"/>
          <w:b/>
          <w:bCs/>
          <w:kern w:val="0"/>
          <w:sz w:val="24"/>
          <w:u w:val="single"/>
          <w:lang w:val="en-US" w:eastAsia="zh-CN"/>
        </w:rPr>
      </w:pPr>
    </w:p>
    <w:p w14:paraId="4BD63A90">
      <w:pPr>
        <w:rPr>
          <w:rFonts w:hint="eastAsia" w:ascii="宋体" w:hAnsi="宋体" w:cs="宋体"/>
          <w:b/>
          <w:bCs/>
          <w:kern w:val="0"/>
          <w:sz w:val="2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02FED"/>
    <w:multiLevelType w:val="multilevel"/>
    <w:tmpl w:val="04402FE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7D0D4F"/>
    <w:multiLevelType w:val="multilevel"/>
    <w:tmpl w:val="3A7D0D4F"/>
    <w:lvl w:ilvl="0" w:tentative="0">
      <w:start w:val="5"/>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BDDCEB3"/>
    <w:multiLevelType w:val="singleLevel"/>
    <w:tmpl w:val="3BDDCEB3"/>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DD6C9"/>
    <w:rsid w:val="36FDD6C9"/>
    <w:rsid w:val="7B3D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1433</Words>
  <Characters>1559</Characters>
  <Lines>0</Lines>
  <Paragraphs>0</Paragraphs>
  <TotalTime>1</TotalTime>
  <ScaleCrop>false</ScaleCrop>
  <LinksUpToDate>false</LinksUpToDate>
  <CharactersWithSpaces>1567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2024-08-02T08:50:00Z</dcterms:created>
  <dc:creator>蓝</dc:creator>
  <cp:lastModifiedBy>JwZh</cp:lastModifiedBy>
  <dcterms:modified xsi:type="dcterms:W3CDTF">2024-08-12T00:05:32Z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52190BF9F5224457B2E11FB6BB8743EF_13</vt:lpwstr>
  </property>
</Properties>
</file>