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94B6">
      <w:pPr>
        <w:tabs>
          <w:tab w:val="left" w:pos="1276"/>
        </w:tabs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52"/>
          <w:lang w:val="en-US" w:eastAsia="zh-CN" w:bidi="ar-SA"/>
        </w:rPr>
        <w:t>广东省中医院贵州医院危险清运及委托处置服务项目需求</w:t>
      </w:r>
    </w:p>
    <w:p w14:paraId="29A74B1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项目概述</w:t>
      </w:r>
    </w:p>
    <w:p w14:paraId="7F6F08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广东省中医院贵州医院危险废物清运及委托处置服务</w:t>
      </w:r>
    </w:p>
    <w:p w14:paraId="784383F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项目内容：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采购人范围内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产生的危险废物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圾清运及处置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管理</w:t>
      </w:r>
    </w:p>
    <w:p w14:paraId="0B335A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项目需求情况：本项目为一个整体，不得分拆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转包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43DE51F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40" w:firstLineChars="200"/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服务期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具体合同开始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时间以采购人正式书面通知为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准。</w:t>
      </w:r>
      <w:bookmarkStart w:id="0" w:name="_GoBack"/>
      <w:bookmarkEnd w:id="0"/>
    </w:p>
    <w:p w14:paraId="196D67F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textAlignment w:val="baseline"/>
        <w:rPr>
          <w:rFonts w:hint="eastAsia" w:ascii="楷体" w:hAnsi="楷体" w:eastAsia="楷体" w:cs="楷体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二、服务需求</w:t>
      </w:r>
    </w:p>
    <w:p w14:paraId="2BD3E5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80" w:lineRule="exact"/>
        <w:ind w:left="0" w:right="0" w:firstLine="555"/>
        <w:jc w:val="both"/>
        <w:rPr>
          <w:rFonts w:hint="eastAsia" w:ascii="楷体" w:hAnsi="楷体" w:eastAsia="楷体" w:cs="楷体"/>
          <w:kern w:val="2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en-US" w:bidi="ar-SA"/>
        </w:rPr>
        <w:t>（一）服务要求</w:t>
      </w:r>
    </w:p>
    <w:p w14:paraId="658766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80" w:lineRule="exact"/>
        <w:ind w:left="0" w:right="0" w:firstLine="556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须能够365*24小时稳定运行，须能够具备1小时内响应医院临时需求，3小时内提供解决方案的能力。</w:t>
      </w:r>
    </w:p>
    <w:p w14:paraId="7E48E9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80" w:lineRule="exact"/>
        <w:ind w:left="0" w:right="0" w:firstLine="556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根据采购人要求，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合理安排装运时间，以免影响医院正常诊疗。</w:t>
      </w:r>
    </w:p>
    <w:p w14:paraId="231B586A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3、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服务单位指定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专人负责危险废物转移的交接工作，转移联单的申请，负责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采购人院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区内危险废物的装卸工作。</w:t>
      </w:r>
    </w:p>
    <w:p w14:paraId="53271DC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80" w:lineRule="exact"/>
        <w:ind w:left="0" w:right="0" w:firstLine="556"/>
        <w:jc w:val="both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4、服务单位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指定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1名工作人员，作为该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项目联系人。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联系人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手机必须保持每日24小时开机，保证信息畅通，如有特殊情况必须提前通知采购人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若因此给采购人造成其它较大损失的，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服务单位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承担赔偿责任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。</w:t>
      </w:r>
    </w:p>
    <w:p w14:paraId="6F699582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80" w:lineRule="exact"/>
        <w:ind w:right="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处置服务要求</w:t>
      </w:r>
    </w:p>
    <w:p w14:paraId="6F4126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处置技术服务目标：由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服务单位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自行委托专业危险废物运输车队将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采购人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产生的危险废物安全运输至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服务单位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指定场所，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服务单位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对危险废物进行无害化集中处置。</w:t>
      </w:r>
    </w:p>
    <w:p w14:paraId="723685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57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处置技术服务内容：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服务单位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利用气质联用仪/原子吸收/原子荧光/荧光光谱分析仪等分析检测仪器对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采购人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所产生的危险废物中有毒、有害物质进行定性/定量的分析，再根据其理化性质及危险特性，通过不同的处置系统，输送至水泥回转窑进行高温/无害化处置。如因处置不当造成的事故由乙方承担责任，与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采购人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无关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04EF75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80" w:lineRule="exact"/>
        <w:ind w:left="0" w:right="0" w:firstLine="556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处置技术服务的方式：根据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采购人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生产处置情况，一次性或长期不间断地稳定均衡进行。</w:t>
      </w:r>
    </w:p>
    <w:p w14:paraId="460DE5A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firstLine="640" w:firstLineChars="200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处置技术服务质量要求：符合国家及贵州省的有关环保/安全/职业 健康等方面的法律/法规/行业标准。</w:t>
      </w:r>
    </w:p>
    <w:p w14:paraId="08D6CB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对采购人的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危险</w:t>
      </w:r>
      <w:r>
        <w:rPr>
          <w:rFonts w:hint="eastAsia" w:ascii="仿宋_GB2312" w:hAnsi="仿宋_GB2312" w:eastAsia="仿宋_GB2312" w:cs="仿宋_GB2312"/>
          <w:sz w:val="32"/>
          <w:szCs w:val="32"/>
        </w:rPr>
        <w:t>废物的接收、运输、处理必须根据《中华人民共和国固体废物污染环境防治法》及相关法律、法规的规定，并接受采购人的监督和指导。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运输车辆的司机与装卸员工，在采购人范围内应文明作业，遵守国家法令法规以及采购人的各项规章制度。</w:t>
      </w:r>
    </w:p>
    <w:p w14:paraId="022F5C1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rPr>
          <w:spacing w:val="-10"/>
          <w:sz w:val="29"/>
          <w:szCs w:val="29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双方应严格执行《危险废物转移联单》或使用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危险</w:t>
      </w:r>
      <w:r>
        <w:rPr>
          <w:rFonts w:hint="eastAsia" w:ascii="仿宋_GB2312" w:hAnsi="仿宋_GB2312" w:eastAsia="仿宋_GB2312" w:cs="仿宋_GB2312"/>
          <w:sz w:val="32"/>
          <w:szCs w:val="32"/>
        </w:rPr>
        <w:t>废物条码管理进行交接，防止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危险</w:t>
      </w:r>
      <w:r>
        <w:rPr>
          <w:rFonts w:hint="eastAsia" w:ascii="仿宋_GB2312" w:hAnsi="仿宋_GB2312" w:eastAsia="仿宋_GB2312" w:cs="仿宋_GB2312"/>
          <w:sz w:val="32"/>
          <w:szCs w:val="32"/>
        </w:rPr>
        <w:t>废物流失。《危险废物转移联单》第一联由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危险</w:t>
      </w:r>
      <w:r>
        <w:rPr>
          <w:rFonts w:hint="eastAsia" w:ascii="仿宋_GB2312" w:hAnsi="仿宋_GB2312" w:eastAsia="仿宋_GB2312" w:cs="仿宋_GB2312"/>
          <w:sz w:val="32"/>
          <w:szCs w:val="32"/>
        </w:rPr>
        <w:t>废物产生单位保存，第二联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由危险</w:t>
      </w:r>
      <w:r>
        <w:rPr>
          <w:rFonts w:hint="eastAsia" w:ascii="仿宋_GB2312" w:hAnsi="仿宋_GB2312" w:eastAsia="仿宋_GB2312" w:cs="仿宋_GB2312"/>
          <w:sz w:val="32"/>
          <w:szCs w:val="32"/>
        </w:rPr>
        <w:t>废物处置单位保存。</w:t>
      </w:r>
    </w:p>
    <w:p w14:paraId="16510D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57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7、服务单位在执行危险废物转运时，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严格按照转移手续约定的路线进行运输，道路运输过程中发生的一切事故均由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服务单位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承担。</w:t>
      </w:r>
    </w:p>
    <w:p w14:paraId="10BD00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57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8、配合采购人完成与危险废物相关的一切迎检、考察、考核工作。</w:t>
      </w:r>
    </w:p>
    <w:p w14:paraId="5FD2E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1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服务费用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及期限</w:t>
      </w:r>
    </w:p>
    <w:p w14:paraId="4C2DD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费用包括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广东省中医院贵州医院危险废物（附件）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收运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委托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处置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用，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费用按实际产生废物重量核算，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处置费用由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服务单位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承担，回收收益归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服务单位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所有。</w:t>
      </w:r>
    </w:p>
    <w:p w14:paraId="793C6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服务单位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应确保及时、准确、妥善的处理所有服务人员的人均保障管理，包含但不限于薪酬、福利、社保、保险、体检、配套服装、装备及日常工作用具等完成服务工作所需要的一切费用。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服务单位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负责缴纳服务人员的社保（包括但不限于：养老保险、失业保险、工伤保险、生育保险、医疗保险、公积金等）。</w:t>
      </w:r>
    </w:p>
    <w:p w14:paraId="710CB3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267586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附件：</w:t>
      </w:r>
    </w:p>
    <w:p w14:paraId="596A9C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危险废物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</w:p>
    <w:tbl>
      <w:tblPr>
        <w:tblStyle w:val="10"/>
        <w:tblW w:w="8429" w:type="dxa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1"/>
        <w:gridCol w:w="2495"/>
        <w:gridCol w:w="3273"/>
      </w:tblGrid>
      <w:tr w14:paraId="6D6B7E1B">
        <w:trPr>
          <w:trHeight w:val="812" w:hRule="atLeast"/>
        </w:trPr>
        <w:tc>
          <w:tcPr>
            <w:tcW w:w="2661" w:type="dxa"/>
            <w:vAlign w:val="top"/>
          </w:tcPr>
          <w:p w14:paraId="53FC6108">
            <w:pPr>
              <w:pStyle w:val="9"/>
              <w:spacing w:before="304" w:line="220" w:lineRule="auto"/>
              <w:jc w:val="center"/>
            </w:pPr>
            <w:r>
              <w:rPr>
                <w:spacing w:val="-2"/>
              </w:rPr>
              <w:t>废物名称</w:t>
            </w:r>
          </w:p>
        </w:tc>
        <w:tc>
          <w:tcPr>
            <w:tcW w:w="2495" w:type="dxa"/>
            <w:vAlign w:val="top"/>
          </w:tcPr>
          <w:p w14:paraId="3D958A66">
            <w:pPr>
              <w:pStyle w:val="9"/>
              <w:spacing w:before="303" w:line="219" w:lineRule="auto"/>
              <w:ind w:left="465"/>
            </w:pPr>
            <w:r>
              <w:rPr>
                <w:spacing w:val="-2"/>
              </w:rPr>
              <w:t>废物代码</w:t>
            </w:r>
          </w:p>
        </w:tc>
        <w:tc>
          <w:tcPr>
            <w:tcW w:w="3273" w:type="dxa"/>
            <w:vAlign w:val="top"/>
          </w:tcPr>
          <w:p w14:paraId="36539E5E">
            <w:pPr>
              <w:pStyle w:val="9"/>
              <w:spacing w:before="306" w:line="221" w:lineRule="auto"/>
              <w:ind w:left="556"/>
            </w:pPr>
            <w:r>
              <w:rPr>
                <w:spacing w:val="5"/>
              </w:rPr>
              <w:t>形态</w:t>
            </w:r>
          </w:p>
        </w:tc>
      </w:tr>
      <w:tr w14:paraId="0860B90F">
        <w:trPr>
          <w:trHeight w:val="398" w:hRule="atLeast"/>
        </w:trPr>
        <w:tc>
          <w:tcPr>
            <w:tcW w:w="2661" w:type="dxa"/>
            <w:vAlign w:val="top"/>
          </w:tcPr>
          <w:p w14:paraId="2E532C56">
            <w:pPr>
              <w:pStyle w:val="9"/>
              <w:spacing w:before="107" w:line="220" w:lineRule="auto"/>
              <w:jc w:val="center"/>
            </w:pPr>
            <w:r>
              <w:rPr>
                <w:spacing w:val="1"/>
              </w:rPr>
              <w:t>实验室废液</w:t>
            </w:r>
          </w:p>
        </w:tc>
        <w:tc>
          <w:tcPr>
            <w:tcW w:w="2495" w:type="dxa"/>
            <w:vAlign w:val="top"/>
          </w:tcPr>
          <w:p w14:paraId="5FB4B2B9">
            <w:pPr>
              <w:pStyle w:val="9"/>
              <w:spacing w:before="160" w:line="183" w:lineRule="auto"/>
              <w:ind w:left="365"/>
            </w:pPr>
            <w:r>
              <w:rPr>
                <w:spacing w:val="-1"/>
              </w:rPr>
              <w:t>900-047-49</w:t>
            </w:r>
          </w:p>
        </w:tc>
        <w:tc>
          <w:tcPr>
            <w:tcW w:w="3273" w:type="dxa"/>
            <w:vAlign w:val="top"/>
          </w:tcPr>
          <w:p w14:paraId="0F6C4549">
            <w:pPr>
              <w:pStyle w:val="9"/>
              <w:spacing w:before="107" w:line="220" w:lineRule="auto"/>
              <w:ind w:left="556"/>
            </w:pPr>
            <w:r>
              <w:rPr>
                <w:spacing w:val="5"/>
              </w:rPr>
              <w:t>液态</w:t>
            </w:r>
          </w:p>
        </w:tc>
      </w:tr>
      <w:tr w14:paraId="1FE3ED94">
        <w:trPr>
          <w:trHeight w:val="414" w:hRule="atLeast"/>
        </w:trPr>
        <w:tc>
          <w:tcPr>
            <w:tcW w:w="2661" w:type="dxa"/>
            <w:vAlign w:val="top"/>
          </w:tcPr>
          <w:p w14:paraId="57000C2B">
            <w:pPr>
              <w:pStyle w:val="9"/>
              <w:spacing w:before="109" w:line="220" w:lineRule="auto"/>
              <w:jc w:val="center"/>
            </w:pPr>
            <w:r>
              <w:rPr>
                <w:spacing w:val="2"/>
              </w:rPr>
              <w:t>医院污泥</w:t>
            </w:r>
          </w:p>
        </w:tc>
        <w:tc>
          <w:tcPr>
            <w:tcW w:w="2495" w:type="dxa"/>
            <w:vAlign w:val="top"/>
          </w:tcPr>
          <w:p w14:paraId="02303AC2">
            <w:pPr>
              <w:pStyle w:val="9"/>
              <w:spacing w:before="162" w:line="183" w:lineRule="auto"/>
              <w:ind w:left="365"/>
            </w:pPr>
            <w:r>
              <w:rPr>
                <w:spacing w:val="-2"/>
              </w:rPr>
              <w:t>772-006-49</w:t>
            </w:r>
          </w:p>
        </w:tc>
        <w:tc>
          <w:tcPr>
            <w:tcW w:w="3273" w:type="dxa"/>
            <w:vAlign w:val="top"/>
          </w:tcPr>
          <w:p w14:paraId="54158EB2">
            <w:pPr>
              <w:pStyle w:val="9"/>
              <w:spacing w:before="109" w:line="220" w:lineRule="auto"/>
              <w:ind w:left="457"/>
            </w:pPr>
            <w:r>
              <w:rPr>
                <w:spacing w:val="3"/>
              </w:rPr>
              <w:t>半固态</w:t>
            </w:r>
          </w:p>
        </w:tc>
      </w:tr>
      <w:tr w14:paraId="0D9734A1">
        <w:trPr>
          <w:trHeight w:val="414" w:hRule="atLeast"/>
        </w:trPr>
        <w:tc>
          <w:tcPr>
            <w:tcW w:w="2661" w:type="dxa"/>
            <w:vAlign w:val="top"/>
          </w:tcPr>
          <w:p w14:paraId="5816617C">
            <w:pPr>
              <w:pStyle w:val="9"/>
              <w:spacing w:before="109" w:line="22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活性炭</w:t>
            </w:r>
          </w:p>
        </w:tc>
        <w:tc>
          <w:tcPr>
            <w:tcW w:w="2495" w:type="dxa"/>
            <w:vAlign w:val="top"/>
          </w:tcPr>
          <w:p w14:paraId="6F8C7935">
            <w:pPr>
              <w:pStyle w:val="9"/>
              <w:spacing w:before="162" w:line="183" w:lineRule="auto"/>
              <w:ind w:left="365"/>
              <w:rPr>
                <w:spacing w:val="-2"/>
              </w:rPr>
            </w:pPr>
            <w:r>
              <w:rPr>
                <w:spacing w:val="-1"/>
              </w:rPr>
              <w:t>900-039-49</w:t>
            </w:r>
          </w:p>
        </w:tc>
        <w:tc>
          <w:tcPr>
            <w:tcW w:w="3273" w:type="dxa"/>
            <w:vAlign w:val="top"/>
          </w:tcPr>
          <w:p w14:paraId="27C039DB">
            <w:pPr>
              <w:pStyle w:val="9"/>
              <w:spacing w:before="109" w:line="220" w:lineRule="auto"/>
              <w:ind w:left="457"/>
              <w:rPr>
                <w:spacing w:val="3"/>
              </w:rPr>
            </w:pPr>
            <w:r>
              <w:rPr>
                <w:rFonts w:hint="eastAsia"/>
                <w:spacing w:val="3"/>
                <w:lang w:val="en-US" w:eastAsia="zh-CN"/>
              </w:rPr>
              <w:t>固态</w:t>
            </w:r>
          </w:p>
        </w:tc>
      </w:tr>
    </w:tbl>
    <w:p w14:paraId="7A91929F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7ECF87">
      <w:pP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C4D01">
    <w:pPr>
      <w:pStyle w:val="3"/>
      <w:tabs>
        <w:tab w:val="left" w:pos="40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475E1">
                          <w:pPr>
                            <w:pStyle w:val="3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475E1">
                    <w:pPr>
                      <w:pStyle w:val="3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</w:rPr>
                      <w:t>1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5B960">
    <w:pPr>
      <w:pStyle w:val="3"/>
      <w:tabs>
        <w:tab w:val="left" w:pos="403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1E465"/>
    <w:multiLevelType w:val="singleLevel"/>
    <w:tmpl w:val="ED21E4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jI5NzA0NzYzODhkM2I2OWZiZWJjZjJlMTg5YjkifQ=="/>
  </w:docVars>
  <w:rsids>
    <w:rsidRoot w:val="47165C23"/>
    <w:rsid w:val="29D676CD"/>
    <w:rsid w:val="35B30C8D"/>
    <w:rsid w:val="47165C23"/>
    <w:rsid w:val="4A511ABA"/>
    <w:rsid w:val="695735CD"/>
    <w:rsid w:val="7BD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3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1351</Characters>
  <Lines>0</Lines>
  <Paragraphs>0</Paragraphs>
  <TotalTime>2</TotalTime>
  <ScaleCrop>false</ScaleCrop>
  <LinksUpToDate>false</LinksUpToDate>
  <CharactersWithSpaces>1352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2024-11-05T08:27:00Z</dcterms:created>
  <dc:creator>米可</dc:creator>
  <cp:lastModifiedBy>蓝</cp:lastModifiedBy>
  <cp:lastPrinted>2024-11-13T10:04:00Z</cp:lastPrinted>
  <dcterms:modified xsi:type="dcterms:W3CDTF">2024-11-25T11:49:43Z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4A3DDDCA35E9B915D7F34367C6522366_43</vt:lpwstr>
  </property>
</Properties>
</file>